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E5C3" w14:textId="77777777" w:rsidR="0036374C" w:rsidRPr="00E00177" w:rsidRDefault="0036374C" w:rsidP="00E00177">
      <w:pPr>
        <w:tabs>
          <w:tab w:val="left" w:pos="3870"/>
        </w:tabs>
        <w:spacing w:line="480" w:lineRule="auto"/>
        <w:rPr>
          <w:b/>
          <w:bCs/>
          <w:sz w:val="28"/>
          <w:szCs w:val="28"/>
        </w:rPr>
      </w:pPr>
      <w:r w:rsidRPr="00E00177">
        <w:rPr>
          <w:b/>
          <w:bCs/>
          <w:sz w:val="28"/>
          <w:szCs w:val="28"/>
        </w:rPr>
        <w:t xml:space="preserve">Supplementary Methods </w:t>
      </w:r>
    </w:p>
    <w:p w14:paraId="7C9D385C" w14:textId="77777777" w:rsidR="0036374C" w:rsidRPr="00E00177" w:rsidRDefault="0036374C" w:rsidP="00E00177">
      <w:pPr>
        <w:tabs>
          <w:tab w:val="left" w:pos="3870"/>
        </w:tabs>
        <w:spacing w:line="480" w:lineRule="auto"/>
      </w:pPr>
      <w:r w:rsidRPr="00E00177">
        <w:t xml:space="preserve">Evans et al. “Multi-omics approach identifies germline regulatory variants associated with hematopoietic malignancies in </w:t>
      </w:r>
      <w:r>
        <w:t xml:space="preserve">retriever </w:t>
      </w:r>
      <w:r w:rsidRPr="00E00177">
        <w:t>dog</w:t>
      </w:r>
      <w:r>
        <w:t xml:space="preserve"> breed</w:t>
      </w:r>
      <w:r w:rsidRPr="00E00177">
        <w:t>s”</w:t>
      </w:r>
    </w:p>
    <w:p w14:paraId="36882F69" w14:textId="77777777" w:rsidR="0036374C" w:rsidRDefault="0036374C" w:rsidP="00D03F35">
      <w:pPr>
        <w:spacing w:line="480" w:lineRule="auto"/>
        <w:rPr>
          <w:b/>
          <w:bCs/>
        </w:rPr>
      </w:pPr>
    </w:p>
    <w:p w14:paraId="218FB114" w14:textId="77777777" w:rsidR="0036374C" w:rsidRPr="00942E2F" w:rsidRDefault="0036374C" w:rsidP="00454CC1">
      <w:pPr>
        <w:spacing w:line="480" w:lineRule="auto"/>
        <w:rPr>
          <w:i/>
          <w:iCs/>
        </w:rPr>
      </w:pPr>
      <w:r w:rsidRPr="00942E2F">
        <w:rPr>
          <w:i/>
          <w:iCs/>
        </w:rPr>
        <w:t>Sample Collection</w:t>
      </w:r>
    </w:p>
    <w:p w14:paraId="20890F41" w14:textId="626574A7" w:rsidR="0036374C" w:rsidRDefault="0036374C" w:rsidP="00D03F35">
      <w:pPr>
        <w:spacing w:line="480" w:lineRule="auto"/>
      </w:pPr>
      <w:r>
        <w:t xml:space="preserve">G.R. </w:t>
      </w:r>
      <w:proofErr w:type="spellStart"/>
      <w:r>
        <w:t>Rutteman</w:t>
      </w:r>
      <w:proofErr w:type="spellEnd"/>
      <w:r>
        <w:t xml:space="preserve"> and G.C.M. </w:t>
      </w:r>
      <w:proofErr w:type="spellStart"/>
      <w:r>
        <w:t>Grinwis</w:t>
      </w:r>
      <w:proofErr w:type="spellEnd"/>
      <w:r>
        <w:t xml:space="preserve"> performed pathology for all cases from The Netherlands. Morphological hallmarks of histiocytic sarcoma tumors include large round-oval or polygonal cells, sometimes spindle cells, and multinucleated giant cells, often with erythrophagocytosis </w:t>
      </w:r>
      <w:r w:rsidR="0005477D">
        <w:rPr>
          <w:noProof/>
        </w:rPr>
        <w:t>[</w:t>
      </w:r>
      <w:r>
        <w:rPr>
          <w:noProof/>
        </w:rPr>
        <w:t>1</w:t>
      </w:r>
      <w:r w:rsidR="0005477D">
        <w:rPr>
          <w:noProof/>
        </w:rPr>
        <w:t>]</w:t>
      </w:r>
      <w:r>
        <w:t xml:space="preserve">. Overall, 86% of histiocytic sarcoma cases in the GWAS cohort were diagnosed by histopathology and 14% by cytology. While histopathology is ideal for diagnosis, cytology is reliable, with 84-96% of cytology cases confirmed as histiocytic sarcoma in a recent review of canine tumors </w:t>
      </w:r>
      <w:r w:rsidR="0005477D">
        <w:rPr>
          <w:noProof/>
        </w:rPr>
        <w:t>[</w:t>
      </w:r>
      <w:r>
        <w:rPr>
          <w:noProof/>
        </w:rPr>
        <w:t>1</w:t>
      </w:r>
      <w:r w:rsidR="0005477D">
        <w:rPr>
          <w:noProof/>
        </w:rPr>
        <w:t>]</w:t>
      </w:r>
      <w:r>
        <w:t>. S</w:t>
      </w:r>
      <w:r w:rsidRPr="00FB7CF2">
        <w:t xml:space="preserve">ex </w:t>
      </w:r>
      <w:r>
        <w:t>was</w:t>
      </w:r>
      <w:r w:rsidRPr="00FB7CF2">
        <w:t xml:space="preserve"> known for a subset of samples and </w:t>
      </w:r>
      <w:r>
        <w:t>was not significantly skewed between cases and controls (</w:t>
      </w:r>
      <w:r w:rsidRPr="00504CF1">
        <w:rPr>
          <w:i/>
          <w:iCs/>
        </w:rPr>
        <w:t>P</w:t>
      </w:r>
      <w:r>
        <w:t>&gt;0.05)</w:t>
      </w:r>
      <w:r w:rsidRPr="00FB7CF2">
        <w:t>.</w:t>
      </w:r>
    </w:p>
    <w:p w14:paraId="451AF2ED" w14:textId="77777777" w:rsidR="0036374C" w:rsidRDefault="0036374C" w:rsidP="00754A87">
      <w:pPr>
        <w:spacing w:line="480" w:lineRule="auto"/>
      </w:pPr>
      <w:r>
        <w:tab/>
        <w:t xml:space="preserve">FCRs used for variant genotyping (n=20) were diagnosed with a either B-cell, T-cell or unspecified lymphoma. Six Dutch FCRs were diagnosed by cytology with non-Hodgkin’s lymphoma, lacking a specific subtype identification; four were diagnosed with T-cell lymphoma by histopathology. Three American FCRs were diagnosed with B-cell lymphoma and seven with non-specified lymphoma; five had histopathology and 5 had unknown diagnosis methods. All cases received from CSU were diagnosed by histopathology: golden retrievers with B-cell lymphoma (n=8), multicentric lymphoma (n=1), or histiocytic sarcoma (n=6), and one flat-coated retriever with histiocytic sarcoma. One golden retriever from The Netherlands was diagnosed with histiocytic </w:t>
      </w:r>
      <w:r>
        <w:lastRenderedPageBreak/>
        <w:t xml:space="preserve">sarcoma by histopathology. </w:t>
      </w:r>
      <w:r w:rsidRPr="00A838D2">
        <w:t>Seventeen golden retrievers collected in North America were diagnosed with histiocytic sarcoma by a minimum of cytology.</w:t>
      </w:r>
    </w:p>
    <w:p w14:paraId="35E63E6C" w14:textId="77777777" w:rsidR="0036374C" w:rsidRPr="00D03F35" w:rsidRDefault="0036374C" w:rsidP="00D03F35">
      <w:pPr>
        <w:spacing w:line="480" w:lineRule="auto"/>
        <w:rPr>
          <w:b/>
          <w:bCs/>
        </w:rPr>
      </w:pPr>
    </w:p>
    <w:p w14:paraId="5CF58448" w14:textId="77777777" w:rsidR="0036374C" w:rsidRPr="00933A3D" w:rsidRDefault="0036374C" w:rsidP="000F379D">
      <w:pPr>
        <w:spacing w:line="480" w:lineRule="auto"/>
        <w:rPr>
          <w:i/>
          <w:iCs/>
        </w:rPr>
      </w:pPr>
      <w:r w:rsidRPr="00933A3D">
        <w:rPr>
          <w:i/>
          <w:iCs/>
        </w:rPr>
        <w:t xml:space="preserve">Genome-wide association </w:t>
      </w:r>
      <w:r>
        <w:rPr>
          <w:i/>
          <w:iCs/>
        </w:rPr>
        <w:t>and haplotype definitions</w:t>
      </w:r>
    </w:p>
    <w:p w14:paraId="51E0B032" w14:textId="2711189F" w:rsidR="0036374C" w:rsidRDefault="0036374C" w:rsidP="00F945A6">
      <w:pPr>
        <w:spacing w:line="480" w:lineRule="auto"/>
      </w:pPr>
      <w:r>
        <w:t xml:space="preserve">After filtering for call rate ≥95% and minor allele frequency &lt;0.01, </w:t>
      </w:r>
      <w:r w:rsidRPr="00140EF1">
        <w:t>108</w:t>
      </w:r>
      <w:r>
        <w:t xml:space="preserve"> </w:t>
      </w:r>
      <w:r w:rsidRPr="00140EF1">
        <w:t xml:space="preserve">084 </w:t>
      </w:r>
      <w:r>
        <w:t xml:space="preserve">SNPs remained in the FCR (177 cases vs. 132 controls) SNP genotype dataset. GEMMA linear mixed model method was used for association analyses with standardized relatedness matrix to control for population substructure </w:t>
      </w:r>
      <w:r w:rsidR="0005477D">
        <w:rPr>
          <w:noProof/>
        </w:rPr>
        <w:t>[</w:t>
      </w:r>
      <w:r>
        <w:rPr>
          <w:noProof/>
        </w:rPr>
        <w:t>2</w:t>
      </w:r>
      <w:r w:rsidR="0005477D">
        <w:rPr>
          <w:noProof/>
        </w:rPr>
        <w:t>]</w:t>
      </w:r>
      <w:r>
        <w:t xml:space="preserve">. In a GWAS using a subset of FCRs, </w:t>
      </w:r>
      <w:r w:rsidRPr="00B16EC2">
        <w:t>10</w:t>
      </w:r>
      <w:r>
        <w:t xml:space="preserve"> </w:t>
      </w:r>
      <w:r w:rsidRPr="00B16EC2">
        <w:t xml:space="preserve">000 permutations were performed </w:t>
      </w:r>
      <w:r>
        <w:t>with</w:t>
      </w:r>
      <w:r w:rsidRPr="00B16EC2">
        <w:t xml:space="preserve"> a </w:t>
      </w:r>
      <w:proofErr w:type="spellStart"/>
      <w:r w:rsidRPr="00B16EC2">
        <w:t>perl</w:t>
      </w:r>
      <w:proofErr w:type="spellEnd"/>
      <w:r w:rsidRPr="00B16EC2">
        <w:t xml:space="preserve"> script to run GEMMA with </w:t>
      </w:r>
      <w:r>
        <w:t>random</w:t>
      </w:r>
      <w:r w:rsidRPr="00B16EC2">
        <w:t xml:space="preserve"> case-control assignments</w:t>
      </w:r>
      <w:r>
        <w:t xml:space="preserve"> to establish significance thresholds</w:t>
      </w:r>
      <w:r w:rsidRPr="00B16EC2">
        <w:t>.</w:t>
      </w:r>
      <w:r>
        <w:t xml:space="preserve"> Principal component analysis was performed using </w:t>
      </w:r>
      <w:proofErr w:type="spellStart"/>
      <w:r>
        <w:t>eigensoft</w:t>
      </w:r>
      <w:proofErr w:type="spellEnd"/>
      <w:r>
        <w:t xml:space="preserve"> </w:t>
      </w:r>
      <w:r w:rsidR="0005477D">
        <w:rPr>
          <w:noProof/>
        </w:rPr>
        <w:t>[</w:t>
      </w:r>
      <w:r>
        <w:rPr>
          <w:noProof/>
        </w:rPr>
        <w:t>3</w:t>
      </w:r>
      <w:r w:rsidR="0005477D">
        <w:rPr>
          <w:noProof/>
        </w:rPr>
        <w:t>]</w:t>
      </w:r>
      <w:r>
        <w:t xml:space="preserve">. Proportion of phenotype variance explained by genotypes was estimated with restricted maximum likelihood analysis in GCTA </w:t>
      </w:r>
      <w:r w:rsidR="0005477D">
        <w:rPr>
          <w:noProof/>
        </w:rPr>
        <w:t>[</w:t>
      </w:r>
      <w:r>
        <w:rPr>
          <w:noProof/>
        </w:rPr>
        <w:t>4</w:t>
      </w:r>
      <w:r w:rsidR="0005477D">
        <w:rPr>
          <w:noProof/>
        </w:rPr>
        <w:t>]</w:t>
      </w:r>
      <w:r>
        <w:t xml:space="preserve"> with the estimated disease prevalence set at 17-20% </w:t>
      </w:r>
      <w:r w:rsidR="0005477D">
        <w:rPr>
          <w:noProof/>
        </w:rPr>
        <w:t>[</w:t>
      </w:r>
      <w:r>
        <w:rPr>
          <w:noProof/>
        </w:rPr>
        <w:t>5</w:t>
      </w:r>
      <w:r w:rsidR="0005477D">
        <w:rPr>
          <w:noProof/>
        </w:rPr>
        <w:t>]</w:t>
      </w:r>
      <w:r>
        <w:t xml:space="preserve"> and likelihood ratio tests to calculate </w:t>
      </w:r>
      <w:r w:rsidRPr="00747067">
        <w:rPr>
          <w:i/>
          <w:iCs/>
        </w:rPr>
        <w:t>P</w:t>
      </w:r>
      <w:r>
        <w:t xml:space="preserve">-values. </w:t>
      </w:r>
    </w:p>
    <w:p w14:paraId="33D4598A" w14:textId="77777777" w:rsidR="0036374C" w:rsidRDefault="0036374C" w:rsidP="00796B72">
      <w:pPr>
        <w:spacing w:line="480" w:lineRule="auto"/>
        <w:ind w:firstLine="720"/>
      </w:pPr>
      <w:r>
        <w:t xml:space="preserve">Golden retriever SNPs were filtered as described for FCRs, leaving </w:t>
      </w:r>
      <w:r w:rsidRPr="00281138">
        <w:t>115</w:t>
      </w:r>
      <w:r>
        <w:t xml:space="preserve"> </w:t>
      </w:r>
      <w:r w:rsidRPr="00281138">
        <w:t>119</w:t>
      </w:r>
      <w:r>
        <w:t xml:space="preserve">. One golden retriever with &gt;5% missing genotypes was excluded. A total of </w:t>
      </w:r>
      <w:r w:rsidRPr="00281138">
        <w:t>90</w:t>
      </w:r>
      <w:r>
        <w:t xml:space="preserve"> </w:t>
      </w:r>
      <w:r w:rsidRPr="00281138">
        <w:t>785</w:t>
      </w:r>
      <w:r>
        <w:t xml:space="preserve"> overlapping markers, after independent filtering in FCRs and golden retrievers, were used for haplotype analyses.</w:t>
      </w:r>
    </w:p>
    <w:p w14:paraId="747BC1C5" w14:textId="77777777" w:rsidR="0036374C" w:rsidRDefault="0036374C" w:rsidP="00F945A6">
      <w:pPr>
        <w:spacing w:line="480" w:lineRule="auto"/>
      </w:pPr>
    </w:p>
    <w:p w14:paraId="4AC59D13" w14:textId="77777777" w:rsidR="0036374C" w:rsidRPr="00055388" w:rsidRDefault="0036374C" w:rsidP="00F945A6">
      <w:pPr>
        <w:spacing w:line="480" w:lineRule="auto"/>
        <w:rPr>
          <w:i/>
          <w:iCs/>
        </w:rPr>
      </w:pPr>
      <w:proofErr w:type="spellStart"/>
      <w:r w:rsidRPr="00055388">
        <w:rPr>
          <w:i/>
          <w:iCs/>
        </w:rPr>
        <w:t>RNAseq</w:t>
      </w:r>
      <w:proofErr w:type="spellEnd"/>
    </w:p>
    <w:p w14:paraId="1A27BB25" w14:textId="50B545AE" w:rsidR="0036374C" w:rsidRDefault="0036374C" w:rsidP="00F945A6">
      <w:pPr>
        <w:spacing w:line="480" w:lineRule="auto"/>
      </w:pPr>
      <w:r>
        <w:t xml:space="preserve">Whole blood (~2.5mLs) samples collected in </w:t>
      </w:r>
      <w:proofErr w:type="spellStart"/>
      <w:r>
        <w:t>PAXgene</w:t>
      </w:r>
      <w:proofErr w:type="spellEnd"/>
      <w:r>
        <w:t xml:space="preserve"> RNA tubes (</w:t>
      </w:r>
      <w:proofErr w:type="spellStart"/>
      <w:r>
        <w:t>PreAnalytiX</w:t>
      </w:r>
      <w:proofErr w:type="spellEnd"/>
      <w:r>
        <w:t xml:space="preserve">, </w:t>
      </w:r>
      <w:proofErr w:type="spellStart"/>
      <w:r w:rsidRPr="001C0BAB">
        <w:t>Hombrechtikon</w:t>
      </w:r>
      <w:proofErr w:type="spellEnd"/>
      <w:r w:rsidRPr="001C0BAB">
        <w:t>, Switzerland</w:t>
      </w:r>
      <w:r>
        <w:t xml:space="preserve">) were shipped to the lab within one day of the draw and stored at -80°C. RNA was isolated from thawed </w:t>
      </w:r>
      <w:proofErr w:type="spellStart"/>
      <w:r>
        <w:t>PAXgene</w:t>
      </w:r>
      <w:proofErr w:type="spellEnd"/>
      <w:r>
        <w:t xml:space="preserve"> tubes following the </w:t>
      </w:r>
      <w:r>
        <w:lastRenderedPageBreak/>
        <w:t>manufacturer’s protocols. RNA samples were quantitated and analyzed on an Agilent (</w:t>
      </w:r>
      <w:r w:rsidRPr="001C0BAB">
        <w:t>Santa Clara, CA</w:t>
      </w:r>
      <w:r>
        <w:t xml:space="preserve">, USA) 2100 Bioanalyzer System or an Agilent 4150 </w:t>
      </w:r>
      <w:proofErr w:type="spellStart"/>
      <w:r>
        <w:t>TapeStation</w:t>
      </w:r>
      <w:proofErr w:type="spellEnd"/>
      <w:r>
        <w:t>; all had RIN/</w:t>
      </w:r>
      <w:proofErr w:type="spellStart"/>
      <w:r>
        <w:t>RIN</w:t>
      </w:r>
      <w:r w:rsidRPr="00E36199">
        <w:rPr>
          <w:vertAlign w:val="superscript"/>
        </w:rPr>
        <w:t>e</w:t>
      </w:r>
      <w:proofErr w:type="spellEnd"/>
      <w:r>
        <w:t xml:space="preserve"> scores &gt;7. Approximately 1</w:t>
      </w:r>
      <w:r w:rsidRPr="00B55CDE">
        <w:t xml:space="preserve"> </w:t>
      </w:r>
      <w:r>
        <w:t xml:space="preserve">µg of RNA per sample was used for library preparation. </w:t>
      </w:r>
      <w:proofErr w:type="spellStart"/>
      <w:r>
        <w:t>RNAseq</w:t>
      </w:r>
      <w:proofErr w:type="spellEnd"/>
      <w:r>
        <w:t xml:space="preserve"> read quality was assessed in </w:t>
      </w:r>
      <w:proofErr w:type="spellStart"/>
      <w:r>
        <w:t>FastQC</w:t>
      </w:r>
      <w:proofErr w:type="spellEnd"/>
      <w:r>
        <w:t xml:space="preserve"> before and after preprocessing with </w:t>
      </w:r>
      <w:proofErr w:type="spellStart"/>
      <w:r>
        <w:t>Trimmomatic</w:t>
      </w:r>
      <w:proofErr w:type="spellEnd"/>
      <w:r>
        <w:t xml:space="preserve"> to remove adapter sequences and </w:t>
      </w:r>
      <w:proofErr w:type="gramStart"/>
      <w:r>
        <w:t>low quality</w:t>
      </w:r>
      <w:proofErr w:type="gramEnd"/>
      <w:r>
        <w:t xml:space="preserve"> bases </w:t>
      </w:r>
      <w:r w:rsidR="0005477D">
        <w:rPr>
          <w:noProof/>
        </w:rPr>
        <w:t>[</w:t>
      </w:r>
      <w:r>
        <w:rPr>
          <w:noProof/>
        </w:rPr>
        <w:t>6</w:t>
      </w:r>
      <w:r w:rsidR="0005477D">
        <w:rPr>
          <w:noProof/>
        </w:rPr>
        <w:t>]</w:t>
      </w:r>
      <w:r>
        <w:t xml:space="preserve">. Trimmed reads were aligned to CanFam3.1 using the RSEM+STAR alignment protocol for RNA-seq quantification </w:t>
      </w:r>
      <w:r w:rsidR="0005477D">
        <w:rPr>
          <w:noProof/>
        </w:rPr>
        <w:t>[</w:t>
      </w:r>
      <w:r>
        <w:rPr>
          <w:noProof/>
        </w:rPr>
        <w:t>7,8</w:t>
      </w:r>
      <w:r w:rsidR="0005477D">
        <w:rPr>
          <w:noProof/>
        </w:rPr>
        <w:t>]</w:t>
      </w:r>
      <w:r>
        <w:t xml:space="preserve"> with the paired-end and </w:t>
      </w:r>
      <w:proofErr w:type="spellStart"/>
      <w:r>
        <w:t>strandedness</w:t>
      </w:r>
      <w:proofErr w:type="spellEnd"/>
      <w:r>
        <w:t xml:space="preserve"> reverse flags. Transcripts annotated with </w:t>
      </w:r>
      <w:proofErr w:type="spellStart"/>
      <w:r>
        <w:t>FEELNc</w:t>
      </w:r>
      <w:proofErr w:type="spellEnd"/>
      <w:r>
        <w:t xml:space="preserve"> were used for alignment </w:t>
      </w:r>
      <w:r w:rsidR="0005477D">
        <w:rPr>
          <w:noProof/>
        </w:rPr>
        <w:t>[</w:t>
      </w:r>
      <w:r>
        <w:rPr>
          <w:noProof/>
        </w:rPr>
        <w:t>9</w:t>
      </w:r>
      <w:r w:rsidR="0005477D">
        <w:rPr>
          <w:noProof/>
        </w:rPr>
        <w:t>]</w:t>
      </w:r>
      <w:r>
        <w:t xml:space="preserve">. </w:t>
      </w:r>
    </w:p>
    <w:p w14:paraId="01433ABC" w14:textId="77777777" w:rsidR="0036374C" w:rsidRDefault="0036374C" w:rsidP="00F945A6">
      <w:pPr>
        <w:spacing w:line="480" w:lineRule="auto"/>
      </w:pPr>
    </w:p>
    <w:p w14:paraId="0B30EBEF" w14:textId="77777777" w:rsidR="0036374C" w:rsidRPr="00055388" w:rsidRDefault="0036374C" w:rsidP="00F945A6">
      <w:pPr>
        <w:spacing w:line="480" w:lineRule="auto"/>
        <w:rPr>
          <w:i/>
          <w:iCs/>
        </w:rPr>
      </w:pPr>
      <w:r w:rsidRPr="00055388">
        <w:rPr>
          <w:i/>
          <w:iCs/>
        </w:rPr>
        <w:t>Allele-specific expression analysis</w:t>
      </w:r>
    </w:p>
    <w:p w14:paraId="6ED7D4B0" w14:textId="750D6FCE" w:rsidR="0036374C" w:rsidRDefault="0036374C" w:rsidP="00F945A6">
      <w:pPr>
        <w:spacing w:line="480" w:lineRule="auto"/>
      </w:pPr>
      <w:r>
        <w:t xml:space="preserve">VCF files were generated following GATK best practices. STAR </w:t>
      </w:r>
      <w:r w:rsidR="0005477D">
        <w:rPr>
          <w:noProof/>
        </w:rPr>
        <w:t>[</w:t>
      </w:r>
      <w:r>
        <w:rPr>
          <w:noProof/>
        </w:rPr>
        <w:t>10</w:t>
      </w:r>
      <w:r w:rsidR="0005477D">
        <w:rPr>
          <w:noProof/>
        </w:rPr>
        <w:t>]</w:t>
      </w:r>
      <w:r>
        <w:t xml:space="preserve"> was used to align </w:t>
      </w:r>
      <w:proofErr w:type="spellStart"/>
      <w:r>
        <w:t>fastq</w:t>
      </w:r>
      <w:proofErr w:type="spellEnd"/>
      <w:r>
        <w:t xml:space="preserve"> files to the CanFam3.1 reference genome in two-pass mode. Read groups were added and duplicates marked with Picard tools with the READ_NAME_REGEX option set to null as recommended by GATK </w:t>
      </w:r>
      <w:r w:rsidR="0005477D">
        <w:rPr>
          <w:noProof/>
        </w:rPr>
        <w:t>[</w:t>
      </w:r>
      <w:r>
        <w:rPr>
          <w:noProof/>
        </w:rPr>
        <w:t>11</w:t>
      </w:r>
      <w:r w:rsidR="0005477D">
        <w:rPr>
          <w:noProof/>
        </w:rPr>
        <w:t>]</w:t>
      </w:r>
      <w:r>
        <w:t xml:space="preserve"> for </w:t>
      </w:r>
      <w:proofErr w:type="spellStart"/>
      <w:r>
        <w:t>RNAseq</w:t>
      </w:r>
      <w:proofErr w:type="spellEnd"/>
      <w:r>
        <w:t xml:space="preserve"> data. Reads were split by exons and intronic overhang clipped with </w:t>
      </w:r>
      <w:proofErr w:type="spellStart"/>
      <w:r>
        <w:t>SplitNCigarReads</w:t>
      </w:r>
      <w:proofErr w:type="spellEnd"/>
      <w:r>
        <w:t xml:space="preserve">. Variants from dbSNPv131 were used for base recalibration. </w:t>
      </w:r>
      <w:proofErr w:type="spellStart"/>
      <w:r>
        <w:t>HaplotypeCaller</w:t>
      </w:r>
      <w:proofErr w:type="spellEnd"/>
      <w:r>
        <w:t xml:space="preserve"> was used to call variants per sample, which were </w:t>
      </w:r>
      <w:proofErr w:type="gramStart"/>
      <w:r>
        <w:t>hard-filtered</w:t>
      </w:r>
      <w:proofErr w:type="gramEnd"/>
      <w:r>
        <w:t xml:space="preserve"> for </w:t>
      </w:r>
      <w:proofErr w:type="spellStart"/>
      <w:r>
        <w:t>FisherStrand</w:t>
      </w:r>
      <w:proofErr w:type="spellEnd"/>
      <w:r>
        <w:t xml:space="preserve"> (FS) &gt; 30 and </w:t>
      </w:r>
      <w:proofErr w:type="spellStart"/>
      <w:r>
        <w:t>QualBy</w:t>
      </w:r>
      <w:proofErr w:type="spellEnd"/>
      <w:r>
        <w:t xml:space="preserve"> Depth (QD) &lt; 2. Heterozygous sites with read depth ≥10 </w:t>
      </w:r>
      <w:proofErr w:type="gramStart"/>
      <w:r>
        <w:t>were</w:t>
      </w:r>
      <w:proofErr w:type="gramEnd"/>
      <w:r>
        <w:t xml:space="preserve"> included for </w:t>
      </w:r>
      <w:proofErr w:type="spellStart"/>
      <w:r>
        <w:t>ASEReadCounter</w:t>
      </w:r>
      <w:proofErr w:type="spellEnd"/>
      <w:r>
        <w:t>. Reference or alternate counts &lt;1% of the total read count or that were absent in genomes from 1090 breed dogs (S</w:t>
      </w:r>
      <w:r w:rsidR="0005477D">
        <w:t>2</w:t>
      </w:r>
      <w:r>
        <w:t xml:space="preserve"> Table</w:t>
      </w:r>
      <w:r w:rsidRPr="0007217A">
        <w:t>)</w:t>
      </w:r>
      <w:r>
        <w:t xml:space="preserve"> </w:t>
      </w:r>
      <w:r w:rsidRPr="006F1ADF">
        <w:t xml:space="preserve">were excluded from further analysis, as they were unlikely to be </w:t>
      </w:r>
      <w:r>
        <w:t>true</w:t>
      </w:r>
      <w:r w:rsidRPr="006F1ADF">
        <w:t xml:space="preserve"> heterozygous variants</w:t>
      </w:r>
      <w:r>
        <w:t>. A chi-square test (</w:t>
      </w:r>
      <w:r w:rsidRPr="00DC0342">
        <w:rPr>
          <w:i/>
          <w:iCs/>
        </w:rPr>
        <w:t>P</w:t>
      </w:r>
      <w:r>
        <w:t>≤0.05) was performed for each site in each individual.</w:t>
      </w:r>
    </w:p>
    <w:p w14:paraId="6907575D" w14:textId="77777777" w:rsidR="0036374C" w:rsidRDefault="0036374C" w:rsidP="00D03F35">
      <w:pPr>
        <w:spacing w:line="480" w:lineRule="auto"/>
        <w:rPr>
          <w:i/>
          <w:iCs/>
        </w:rPr>
      </w:pPr>
    </w:p>
    <w:p w14:paraId="59AF70E9" w14:textId="77777777" w:rsidR="0036374C" w:rsidRPr="00D03F35" w:rsidRDefault="0036374C" w:rsidP="00D03F35">
      <w:pPr>
        <w:spacing w:line="480" w:lineRule="auto"/>
        <w:rPr>
          <w:i/>
          <w:iCs/>
        </w:rPr>
      </w:pPr>
      <w:proofErr w:type="spellStart"/>
      <w:r w:rsidRPr="00D03F35">
        <w:rPr>
          <w:i/>
          <w:iCs/>
        </w:rPr>
        <w:lastRenderedPageBreak/>
        <w:t>ChIPseq</w:t>
      </w:r>
      <w:proofErr w:type="spellEnd"/>
    </w:p>
    <w:p w14:paraId="3A8B8A97" w14:textId="7E80C047" w:rsidR="0036374C" w:rsidRDefault="0036374C" w:rsidP="00581CF1">
      <w:pPr>
        <w:spacing w:line="480" w:lineRule="auto"/>
      </w:pPr>
      <w:r w:rsidRPr="001D1F19">
        <w:t xml:space="preserve">Fresh blood was drawn in yellow-top tubes with acid citrate dextrose </w:t>
      </w:r>
      <w:proofErr w:type="spellStart"/>
      <w:r w:rsidRPr="001D1F19">
        <w:t>anticoagulent</w:t>
      </w:r>
      <w:proofErr w:type="spellEnd"/>
      <w:r w:rsidRPr="001D1F19">
        <w:t xml:space="preserve"> at the owner’s veterinary clinic and shipped directly to the lab, where it was stored at 4ºC for a maximum of three days prior to FICOLL extraction.</w:t>
      </w:r>
      <w:r>
        <w:t xml:space="preserve"> </w:t>
      </w:r>
      <w:r w:rsidRPr="001D7357">
        <w:t>FICOLL®-</w:t>
      </w:r>
      <w:proofErr w:type="spellStart"/>
      <w:r w:rsidRPr="001D7357">
        <w:t>paque</w:t>
      </w:r>
      <w:proofErr w:type="spellEnd"/>
      <w:r w:rsidRPr="001D7357">
        <w:t xml:space="preserve"> plus procedures (</w:t>
      </w:r>
      <w:proofErr w:type="spellStart"/>
      <w:r>
        <w:t>Cytiva</w:t>
      </w:r>
      <w:proofErr w:type="spellEnd"/>
      <w:r>
        <w:t xml:space="preserve">, </w:t>
      </w:r>
      <w:r w:rsidRPr="001C0BAB">
        <w:t>Marlborough, MA</w:t>
      </w:r>
      <w:r>
        <w:t>, USA</w:t>
      </w:r>
      <w:r w:rsidRPr="001D7357">
        <w:t>)</w:t>
      </w:r>
      <w:r>
        <w:t xml:space="preserve"> were used to isolate peripheral blood mononuclear cells from whole blood samples. </w:t>
      </w:r>
      <w:r w:rsidRPr="001D7357">
        <w:t xml:space="preserve">Cells were counted using </w:t>
      </w:r>
      <w:r>
        <w:t xml:space="preserve">a </w:t>
      </w:r>
      <w:proofErr w:type="spellStart"/>
      <w:r>
        <w:t>Cellometer</w:t>
      </w:r>
      <w:proofErr w:type="spellEnd"/>
      <w:r>
        <w:t xml:space="preserve"> </w:t>
      </w:r>
      <w:r w:rsidRPr="0020219B">
        <w:t>Auto T4</w:t>
      </w:r>
      <w:r>
        <w:t xml:space="preserve"> (</w:t>
      </w:r>
      <w:proofErr w:type="spellStart"/>
      <w:r>
        <w:t>Nexelcom</w:t>
      </w:r>
      <w:proofErr w:type="spellEnd"/>
      <w:r>
        <w:t xml:space="preserve"> Bioscience, </w:t>
      </w:r>
      <w:r w:rsidRPr="001C0BAB">
        <w:t>Lawrence, MA</w:t>
      </w:r>
      <w:r>
        <w:t xml:space="preserve">, USA). </w:t>
      </w:r>
      <w:r w:rsidRPr="00B70F41">
        <w:t>Two million cells were processed per sample</w:t>
      </w:r>
      <w:r w:rsidRPr="001D7357">
        <w:t xml:space="preserve">. Chromatin immunoprecipitation </w:t>
      </w:r>
      <w:r>
        <w:t>was</w:t>
      </w:r>
      <w:r w:rsidRPr="001D7357">
        <w:t xml:space="preserve"> prepared using the </w:t>
      </w:r>
      <w:proofErr w:type="spellStart"/>
      <w:r w:rsidRPr="001D7357">
        <w:t>SimpleChIP</w:t>
      </w:r>
      <w:proofErr w:type="spellEnd"/>
      <w:r w:rsidRPr="001D7357">
        <w:t>® Plus Enzymatic Chromatin IP kit (magnetic beads</w:t>
      </w:r>
      <w:r>
        <w:t xml:space="preserve">; </w:t>
      </w:r>
      <w:r w:rsidRPr="001D7357">
        <w:t xml:space="preserve">Cell Signaling Technology, </w:t>
      </w:r>
      <w:r w:rsidRPr="001C0BAB">
        <w:t>Danvers, MA</w:t>
      </w:r>
      <w:r>
        <w:t>, USA</w:t>
      </w:r>
      <w:r w:rsidRPr="001D7357">
        <w:t xml:space="preserve">). We followed the protocol of the cell culture cross-linking and sample preparation, adjusting some parameters: 0.5 µl of </w:t>
      </w:r>
      <w:r>
        <w:t>m</w:t>
      </w:r>
      <w:r w:rsidRPr="001D7357">
        <w:t xml:space="preserve">icrococcal </w:t>
      </w:r>
      <w:r>
        <w:t>n</w:t>
      </w:r>
      <w:r w:rsidRPr="001D7357">
        <w:t xml:space="preserve">uclease was used per IP, and a 250 µl volume of digested chromatin was sonicated on ice using a </w:t>
      </w:r>
      <w:proofErr w:type="spellStart"/>
      <w:r w:rsidRPr="001D7357">
        <w:t>Vibra-cell</w:t>
      </w:r>
      <w:r w:rsidRPr="001D7357">
        <w:rPr>
          <w:vertAlign w:val="superscript"/>
        </w:rPr>
        <w:t>TM</w:t>
      </w:r>
      <w:proofErr w:type="spellEnd"/>
      <w:r w:rsidRPr="001D7357">
        <w:t xml:space="preserve"> Ultrasonic </w:t>
      </w:r>
      <w:proofErr w:type="spellStart"/>
      <w:r w:rsidRPr="001D7357">
        <w:t>sonicator</w:t>
      </w:r>
      <w:proofErr w:type="spellEnd"/>
      <w:r w:rsidRPr="001D7357">
        <w:t xml:space="preserve"> VCX 130 (SONICS</w:t>
      </w:r>
      <w:r>
        <w:t xml:space="preserve">, </w:t>
      </w:r>
      <w:r w:rsidRPr="001C0BAB">
        <w:t>Newtown, CT</w:t>
      </w:r>
      <w:r>
        <w:t>, USA</w:t>
      </w:r>
      <w:r w:rsidRPr="001D7357">
        <w:t xml:space="preserve">) with a 1/8-inch probe and with the following settings: 20 sec ON/40 sec OFF/ 30% output for a total of </w:t>
      </w:r>
      <w:r>
        <w:t>nine</w:t>
      </w:r>
      <w:r w:rsidRPr="001D7357">
        <w:t xml:space="preserve"> minutes.</w:t>
      </w:r>
      <w:r>
        <w:t xml:space="preserve"> Immunoprecipitation was performed using </w:t>
      </w:r>
      <w:r w:rsidRPr="001D7357">
        <w:t xml:space="preserve">2 µl of Abcam </w:t>
      </w:r>
      <w:r>
        <w:t>(</w:t>
      </w:r>
      <w:r w:rsidRPr="00777D05">
        <w:t>Cambridge, United Kingdom</w:t>
      </w:r>
      <w:r>
        <w:t>)</w:t>
      </w:r>
      <w:r w:rsidRPr="00777D05">
        <w:t xml:space="preserve"> </w:t>
      </w:r>
      <w:r w:rsidRPr="001D7357">
        <w:t>antibodies</w:t>
      </w:r>
      <w:r w:rsidRPr="00EE3F4D">
        <w:t xml:space="preserve"> </w:t>
      </w:r>
      <w:r>
        <w:t xml:space="preserve">for </w:t>
      </w:r>
      <w:r w:rsidRPr="001D7357">
        <w:t>H3K4me1</w:t>
      </w:r>
      <w:r>
        <w:t xml:space="preserve"> </w:t>
      </w:r>
      <w:r w:rsidRPr="00D60F21">
        <w:t>(</w:t>
      </w:r>
      <w:r>
        <w:t>rabbit polyclonal-</w:t>
      </w:r>
      <w:proofErr w:type="spellStart"/>
      <w:r w:rsidRPr="00BB35C6">
        <w:t>AbCam</w:t>
      </w:r>
      <w:proofErr w:type="spellEnd"/>
      <w:r w:rsidRPr="00BB35C6">
        <w:t>, #ab8895)</w:t>
      </w:r>
      <w:r>
        <w:t>,</w:t>
      </w:r>
      <w:r w:rsidRPr="00BB35C6">
        <w:t xml:space="preserve"> H3K4me3 (</w:t>
      </w:r>
      <w:r>
        <w:t>rabbit polyclonal-</w:t>
      </w:r>
      <w:proofErr w:type="spellStart"/>
      <w:r w:rsidRPr="00BB35C6">
        <w:t>AbCam</w:t>
      </w:r>
      <w:proofErr w:type="spellEnd"/>
      <w:r w:rsidRPr="00BB35C6">
        <w:t>, #ab8580)</w:t>
      </w:r>
      <w:r>
        <w:t>,</w:t>
      </w:r>
      <w:r w:rsidRPr="001D7357">
        <w:t xml:space="preserve"> and one negative control (IgG: Normal Rabbit IgG #2729</w:t>
      </w:r>
      <w:r>
        <w:t>)</w:t>
      </w:r>
      <w:r w:rsidRPr="001D7357">
        <w:t xml:space="preserve"> provided in the Cell Signaling kit. We also produced a 2% input sample. </w:t>
      </w:r>
      <w:r>
        <w:t xml:space="preserve">Quality controls were performed for each </w:t>
      </w:r>
      <w:proofErr w:type="spellStart"/>
      <w:r>
        <w:t>ChIP</w:t>
      </w:r>
      <w:proofErr w:type="spellEnd"/>
      <w:r>
        <w:t xml:space="preserve"> sample: 1) fragmented DNA was purified and 10 </w:t>
      </w:r>
      <w:proofErr w:type="spellStart"/>
      <w:r>
        <w:t>μl</w:t>
      </w:r>
      <w:proofErr w:type="spellEnd"/>
      <w:r>
        <w:t xml:space="preserve"> was separated by electrophoresis on a 1% agarose gel. The majority of chromatin was digested to one to five nucleosomes in length (150 to 900 bp). 2) Purified DNA was analyzed by quantitative real-time PCR using primer sets for PCR detection of the ribosomal protein L30 (RPL30) gene locus (F:5ʹ-TCTGAGGTAATGGAGGGAACC-3ʹ; </w:t>
      </w:r>
      <w:r>
        <w:lastRenderedPageBreak/>
        <w:t>R:5ʹ-</w:t>
      </w:r>
      <w:r w:rsidRPr="006476F3">
        <w:t xml:space="preserve"> </w:t>
      </w:r>
      <w:r>
        <w:t>GCAAGCGTTCGCTTCTAAA-3ʹ). Final DNA quantity was determined using Qubit quantification (</w:t>
      </w:r>
      <w:proofErr w:type="spellStart"/>
      <w:r>
        <w:t>ThermoFisher</w:t>
      </w:r>
      <w:proofErr w:type="spellEnd"/>
      <w:r>
        <w:t xml:space="preserve">, </w:t>
      </w:r>
      <w:r w:rsidRPr="00777D05">
        <w:t>Waltham, MA</w:t>
      </w:r>
      <w:r>
        <w:t xml:space="preserve">, USA) before sequencing. </w:t>
      </w:r>
      <w:proofErr w:type="spellStart"/>
      <w:r w:rsidRPr="001D7357">
        <w:t>ChIP</w:t>
      </w:r>
      <w:r>
        <w:t>s</w:t>
      </w:r>
      <w:r w:rsidRPr="001D7357">
        <w:t>eq</w:t>
      </w:r>
      <w:proofErr w:type="spellEnd"/>
      <w:r w:rsidRPr="001D7357">
        <w:t xml:space="preserve"> libraries were constructed from 10 ng of </w:t>
      </w:r>
      <w:proofErr w:type="spellStart"/>
      <w:r w:rsidRPr="001D7357">
        <w:t>ChIP</w:t>
      </w:r>
      <w:proofErr w:type="spellEnd"/>
      <w:r w:rsidRPr="001D7357">
        <w:t xml:space="preserve"> DNA using Ovation </w:t>
      </w:r>
      <w:proofErr w:type="spellStart"/>
      <w:r w:rsidRPr="001D7357">
        <w:t>UltralowSystem</w:t>
      </w:r>
      <w:proofErr w:type="spellEnd"/>
      <w:r w:rsidRPr="001D7357">
        <w:t xml:space="preserve"> V2 1-96 </w:t>
      </w:r>
      <w:r>
        <w:t xml:space="preserve">(TECAN, </w:t>
      </w:r>
      <w:proofErr w:type="spellStart"/>
      <w:r w:rsidRPr="00777D05">
        <w:t>Männedorf</w:t>
      </w:r>
      <w:proofErr w:type="spellEnd"/>
      <w:r w:rsidRPr="00777D05">
        <w:t>, Switzerland</w:t>
      </w:r>
      <w:r>
        <w:t>)</w:t>
      </w:r>
      <w:r w:rsidRPr="00777D05">
        <w:t xml:space="preserve"> </w:t>
      </w:r>
      <w:r w:rsidRPr="001D7357">
        <w:t xml:space="preserve">with 15 cycles of PCR amplification. The final libraries were purified </w:t>
      </w:r>
      <w:r>
        <w:t xml:space="preserve">twice </w:t>
      </w:r>
      <w:r w:rsidRPr="001D7357">
        <w:t xml:space="preserve">using </w:t>
      </w:r>
      <w:proofErr w:type="spellStart"/>
      <w:r w:rsidRPr="001D7357">
        <w:t>Agencourt</w:t>
      </w:r>
      <w:proofErr w:type="spellEnd"/>
      <w:r w:rsidRPr="001D7357">
        <w:t xml:space="preserve"> </w:t>
      </w:r>
      <w:proofErr w:type="spellStart"/>
      <w:r w:rsidRPr="001D7357">
        <w:t>A</w:t>
      </w:r>
      <w:r>
        <w:t>MP</w:t>
      </w:r>
      <w:r w:rsidRPr="001D7357">
        <w:t>ure</w:t>
      </w:r>
      <w:proofErr w:type="spellEnd"/>
      <w:r w:rsidRPr="001D7357">
        <w:t xml:space="preserve"> XP PCR Purification Beads (</w:t>
      </w:r>
      <w:r w:rsidRPr="00777D05">
        <w:t>Beckman Coulter</w:t>
      </w:r>
      <w:r>
        <w:t>,</w:t>
      </w:r>
      <w:r w:rsidRPr="00777D05">
        <w:t xml:space="preserve"> Brea, CA</w:t>
      </w:r>
      <w:r>
        <w:t>, USA</w:t>
      </w:r>
      <w:r w:rsidRPr="001D7357">
        <w:t>).</w:t>
      </w:r>
      <w:r>
        <w:t xml:space="preserve"> </w:t>
      </w:r>
      <w:r w:rsidRPr="001D7357">
        <w:t xml:space="preserve">The libraries were pooled and then quantitated by qPCR. The pool balance was checked by performing a </w:t>
      </w:r>
      <w:proofErr w:type="spellStart"/>
      <w:r w:rsidRPr="001D7357">
        <w:t>MiSeq</w:t>
      </w:r>
      <w:proofErr w:type="spellEnd"/>
      <w:r w:rsidRPr="001D7357">
        <w:t xml:space="preserve"> run using a </w:t>
      </w:r>
      <w:proofErr w:type="spellStart"/>
      <w:r w:rsidRPr="001D7357">
        <w:t>MiSeq</w:t>
      </w:r>
      <w:proofErr w:type="spellEnd"/>
      <w:r w:rsidRPr="001D7357">
        <w:t xml:space="preserve"> Nano kit, version 2</w:t>
      </w:r>
      <w:r>
        <w:t xml:space="preserve"> (Illumina, </w:t>
      </w:r>
      <w:r w:rsidRPr="00777D05">
        <w:t>San Diego, CA</w:t>
      </w:r>
      <w:r>
        <w:t>, USA)</w:t>
      </w:r>
      <w:r w:rsidRPr="001D7357">
        <w:t>. The percentage of each library in the pool was determined from demultiplexing and was used to rebalance the pool before sequencing</w:t>
      </w:r>
      <w:r>
        <w:t xml:space="preserve"> </w:t>
      </w:r>
      <w:r w:rsidRPr="001D7357">
        <w:t>on a</w:t>
      </w:r>
      <w:r>
        <w:t>n</w:t>
      </w:r>
      <w:r w:rsidRPr="001D7357">
        <w:t xml:space="preserve"> </w:t>
      </w:r>
      <w:r>
        <w:t xml:space="preserve">Illumina </w:t>
      </w:r>
      <w:proofErr w:type="spellStart"/>
      <w:r w:rsidRPr="001D7357">
        <w:t>NextSeq</w:t>
      </w:r>
      <w:proofErr w:type="spellEnd"/>
      <w:r w:rsidRPr="001D7357">
        <w:t xml:space="preserve"> 550</w:t>
      </w:r>
      <w:r>
        <w:t xml:space="preserve"> </w:t>
      </w:r>
      <w:r w:rsidRPr="001D7357">
        <w:t xml:space="preserve">using version 2 chemistry to achieve </w:t>
      </w:r>
      <w:r>
        <w:t>≥</w:t>
      </w:r>
      <w:r w:rsidRPr="001D7357">
        <w:t>28 million 75-base reads.</w:t>
      </w:r>
      <w:r>
        <w:t xml:space="preserve"> Library preparation and sequencing were performed at the NIH Intramural Sequencing Center (NISC). </w:t>
      </w:r>
      <w:r w:rsidRPr="001D7357">
        <w:t xml:space="preserve">The data </w:t>
      </w:r>
      <w:r>
        <w:t>were</w:t>
      </w:r>
      <w:r w:rsidRPr="001D7357">
        <w:t xml:space="preserve"> processed using RTA version 2.4.11.</w:t>
      </w:r>
      <w:r>
        <w:t xml:space="preserve"> R</w:t>
      </w:r>
      <w:r w:rsidRPr="001D7357">
        <w:t>eads were mapped to the Canfam3.1 genome reference</w:t>
      </w:r>
      <w:r w:rsidRPr="001D7357">
        <w:rPr>
          <w:color w:val="FF0000"/>
        </w:rPr>
        <w:t xml:space="preserve"> </w:t>
      </w:r>
      <w:r w:rsidRPr="001D7357">
        <w:t xml:space="preserve">using BWA-MEM </w:t>
      </w:r>
      <w:r w:rsidR="0005477D">
        <w:rPr>
          <w:noProof/>
        </w:rPr>
        <w:t>[</w:t>
      </w:r>
      <w:r>
        <w:rPr>
          <w:noProof/>
        </w:rPr>
        <w:t>12,13</w:t>
      </w:r>
      <w:r w:rsidRPr="001D7357">
        <w:t xml:space="preserve"> and converted to BAM file</w:t>
      </w:r>
      <w:r>
        <w:t>s</w:t>
      </w:r>
      <w:r w:rsidRPr="001D7357">
        <w:t xml:space="preserve"> using </w:t>
      </w:r>
      <w:proofErr w:type="spellStart"/>
      <w:r w:rsidRPr="001D7357">
        <w:t>samtools</w:t>
      </w:r>
      <w:proofErr w:type="spellEnd"/>
      <w:r w:rsidRPr="001D7357">
        <w:t xml:space="preserve"> 1.10</w:t>
      </w:r>
      <w:r>
        <w:t xml:space="preserve"> </w:t>
      </w:r>
      <w:r w:rsidR="0005477D">
        <w:rPr>
          <w:noProof/>
        </w:rPr>
        <w:t>[</w:t>
      </w:r>
      <w:r>
        <w:rPr>
          <w:noProof/>
        </w:rPr>
        <w:t>14</w:t>
      </w:r>
      <w:r w:rsidR="0005477D">
        <w:rPr>
          <w:noProof/>
        </w:rPr>
        <w:t>]</w:t>
      </w:r>
      <w:r w:rsidRPr="001D7357">
        <w:t xml:space="preserve">. </w:t>
      </w:r>
      <w:proofErr w:type="spellStart"/>
      <w:r>
        <w:t>ChIPseq</w:t>
      </w:r>
      <w:proofErr w:type="spellEnd"/>
      <w:r>
        <w:t xml:space="preserve"> peaks </w:t>
      </w:r>
      <w:r w:rsidRPr="001D7357">
        <w:t xml:space="preserve">were quantified in each sample </w:t>
      </w:r>
      <w:r>
        <w:t xml:space="preserve">by </w:t>
      </w:r>
      <w:r w:rsidRPr="001D7357">
        <w:t>counting the number of mapped reads overlapping the peak</w:t>
      </w:r>
      <w:r>
        <w:t xml:space="preserve">, using MACS2 2.2.1 </w:t>
      </w:r>
      <w:r w:rsidR="0005477D">
        <w:rPr>
          <w:noProof/>
        </w:rPr>
        <w:t>[</w:t>
      </w:r>
      <w:r>
        <w:rPr>
          <w:noProof/>
        </w:rPr>
        <w:t>15</w:t>
      </w:r>
      <w:r w:rsidR="0005477D">
        <w:rPr>
          <w:noProof/>
        </w:rPr>
        <w:t>]</w:t>
      </w:r>
      <w:r w:rsidRPr="001D7357">
        <w:t>.</w:t>
      </w:r>
      <w:r>
        <w:t xml:space="preserve"> </w:t>
      </w:r>
      <w:r w:rsidRPr="001D7357">
        <w:t xml:space="preserve">In order to create a track for each histone mark, we compared </w:t>
      </w:r>
      <w:r w:rsidRPr="0042786B">
        <w:t xml:space="preserve">histone peaks between </w:t>
      </w:r>
      <w:r>
        <w:t xml:space="preserve">the six </w:t>
      </w:r>
      <w:r w:rsidRPr="0042786B">
        <w:t xml:space="preserve">Bernese mountain dog samples using </w:t>
      </w:r>
      <w:proofErr w:type="spellStart"/>
      <w:r w:rsidRPr="0042786B">
        <w:t>bedtools</w:t>
      </w:r>
      <w:proofErr w:type="spellEnd"/>
      <w:r w:rsidRPr="0042786B">
        <w:t xml:space="preserve"> (intersect -c -sorted; merge)</w:t>
      </w:r>
      <w:r>
        <w:t xml:space="preserve"> </w:t>
      </w:r>
      <w:r w:rsidR="0005477D">
        <w:rPr>
          <w:noProof/>
        </w:rPr>
        <w:t>[</w:t>
      </w:r>
      <w:r>
        <w:rPr>
          <w:noProof/>
        </w:rPr>
        <w:t>16</w:t>
      </w:r>
      <w:r w:rsidR="0005477D">
        <w:rPr>
          <w:noProof/>
        </w:rPr>
        <w:t>]</w:t>
      </w:r>
      <w:r w:rsidRPr="0042786B">
        <w:t xml:space="preserve">, keeping only peaks overlapping in at least two samples. Only one of the two FCR samples yielded enough </w:t>
      </w:r>
      <w:proofErr w:type="spellStart"/>
      <w:r w:rsidRPr="0042786B">
        <w:t>ChIP</w:t>
      </w:r>
      <w:proofErr w:type="spellEnd"/>
      <w:r w:rsidRPr="0042786B">
        <w:t xml:space="preserve"> DNA for sequencing. This sample was analyzed separately, thus we kept all peaks.</w:t>
      </w:r>
      <w:r>
        <w:t xml:space="preserve"> </w:t>
      </w:r>
    </w:p>
    <w:p w14:paraId="16508492" w14:textId="77777777" w:rsidR="0036374C" w:rsidRDefault="0036374C" w:rsidP="00581CF1">
      <w:pPr>
        <w:spacing w:line="480" w:lineRule="auto"/>
      </w:pPr>
    </w:p>
    <w:p w14:paraId="29FA93FB" w14:textId="77777777" w:rsidR="0036374C" w:rsidRPr="00E00177" w:rsidRDefault="0036374C" w:rsidP="00D03F35">
      <w:pPr>
        <w:spacing w:line="480" w:lineRule="auto"/>
        <w:rPr>
          <w:i/>
          <w:iCs/>
        </w:rPr>
      </w:pPr>
      <w:r w:rsidRPr="00E67D65">
        <w:rPr>
          <w:i/>
          <w:iCs/>
        </w:rPr>
        <w:t>Whole genome sequence</w:t>
      </w:r>
      <w:r>
        <w:rPr>
          <w:i/>
          <w:iCs/>
        </w:rPr>
        <w:t xml:space="preserve"> and variant filtering</w:t>
      </w:r>
    </w:p>
    <w:p w14:paraId="0D0BCDD7" w14:textId="3B221A34" w:rsidR="0036374C" w:rsidRDefault="0036374C" w:rsidP="00D03F35">
      <w:pPr>
        <w:spacing w:line="480" w:lineRule="auto"/>
      </w:pPr>
      <w:r w:rsidRPr="00113C11">
        <w:lastRenderedPageBreak/>
        <w:t>Librar</w:t>
      </w:r>
      <w:r>
        <w:t>ies were</w:t>
      </w:r>
      <w:r w:rsidRPr="00113C11">
        <w:t xml:space="preserve"> prepar</w:t>
      </w:r>
      <w:r>
        <w:t>ed</w:t>
      </w:r>
      <w:r w:rsidRPr="00113C11">
        <w:t xml:space="preserve"> </w:t>
      </w:r>
      <w:r>
        <w:t xml:space="preserve">with the </w:t>
      </w:r>
      <w:r w:rsidRPr="008B34B8">
        <w:t xml:space="preserve">Illumina </w:t>
      </w:r>
      <w:proofErr w:type="spellStart"/>
      <w:r w:rsidRPr="008B34B8">
        <w:t>TruSeq</w:t>
      </w:r>
      <w:proofErr w:type="spellEnd"/>
      <w:r w:rsidRPr="008B34B8">
        <w:t xml:space="preserve"> DNA PCR-Free Protocol (# FC-121-3001)</w:t>
      </w:r>
      <w:r>
        <w:t xml:space="preserve"> </w:t>
      </w:r>
      <w:r w:rsidRPr="00113C11">
        <w:t>and sequenc</w:t>
      </w:r>
      <w:r>
        <w:t xml:space="preserve">ed </w:t>
      </w:r>
      <w:r w:rsidRPr="00113C11">
        <w:t>at NISC</w:t>
      </w:r>
      <w:r>
        <w:t xml:space="preserve"> </w:t>
      </w:r>
      <w:r w:rsidRPr="00113C11">
        <w:t xml:space="preserve">to ~40X coverage per DNA sample </w:t>
      </w:r>
      <w:r>
        <w:t>(</w:t>
      </w:r>
      <w:r w:rsidRPr="00113C11">
        <w:t>150bp paired</w:t>
      </w:r>
      <w:r>
        <w:t>-end reads) on</w:t>
      </w:r>
      <w:r w:rsidRPr="00113C11">
        <w:t xml:space="preserve"> Illumina </w:t>
      </w:r>
      <w:proofErr w:type="spellStart"/>
      <w:r w:rsidRPr="00113C11">
        <w:t>NovaSeq</w:t>
      </w:r>
      <w:proofErr w:type="spellEnd"/>
      <w:r w:rsidRPr="00113C11">
        <w:t xml:space="preserve"> 6000.</w:t>
      </w:r>
      <w:r>
        <w:t xml:space="preserve"> BAM and VCF files were generated as follows. Paired-end reads were aligned to </w:t>
      </w:r>
      <w:proofErr w:type="spellStart"/>
      <w:r>
        <w:t>CanFam</w:t>
      </w:r>
      <w:proofErr w:type="spellEnd"/>
      <w:r>
        <w:t xml:space="preserve"> 3.1 reference genome using the BWA-MEM algorithm </w:t>
      </w:r>
      <w:r w:rsidR="0005477D">
        <w:rPr>
          <w:noProof/>
        </w:rPr>
        <w:t>[</w:t>
      </w:r>
      <w:r>
        <w:rPr>
          <w:noProof/>
        </w:rPr>
        <w:t>12</w:t>
      </w:r>
      <w:r w:rsidR="0005477D">
        <w:rPr>
          <w:noProof/>
        </w:rPr>
        <w:t>]</w:t>
      </w:r>
      <w:r>
        <w:t xml:space="preserve">, sorted with </w:t>
      </w:r>
      <w:proofErr w:type="spellStart"/>
      <w:r>
        <w:t>SAMtools</w:t>
      </w:r>
      <w:proofErr w:type="spellEnd"/>
      <w:r>
        <w:t xml:space="preserve"> </w:t>
      </w:r>
      <w:r w:rsidR="0005477D">
        <w:rPr>
          <w:noProof/>
        </w:rPr>
        <w:t>[</w:t>
      </w:r>
      <w:r>
        <w:rPr>
          <w:noProof/>
        </w:rPr>
        <w:t>14</w:t>
      </w:r>
      <w:r w:rsidR="0005477D">
        <w:rPr>
          <w:noProof/>
        </w:rPr>
        <w:t>]</w:t>
      </w:r>
      <w:r>
        <w:t xml:space="preserve">, and screened for duplicate reads with </w:t>
      </w:r>
      <w:proofErr w:type="spellStart"/>
      <w:r>
        <w:t>PicardTools</w:t>
      </w:r>
      <w:proofErr w:type="spellEnd"/>
      <w:r>
        <w:t xml:space="preserve"> 2.9.2 </w:t>
      </w:r>
      <w:r w:rsidR="0005477D">
        <w:rPr>
          <w:noProof/>
        </w:rPr>
        <w:t>[</w:t>
      </w:r>
      <w:r>
        <w:rPr>
          <w:noProof/>
        </w:rPr>
        <w:t>17</w:t>
      </w:r>
      <w:r w:rsidR="0005477D">
        <w:rPr>
          <w:noProof/>
        </w:rPr>
        <w:t>]</w:t>
      </w:r>
      <w:r>
        <w:t xml:space="preserve">. GATK 4.0.8.1 </w:t>
      </w:r>
      <w:r w:rsidR="0005477D">
        <w:rPr>
          <w:noProof/>
        </w:rPr>
        <w:t>[</w:t>
      </w:r>
      <w:r>
        <w:rPr>
          <w:noProof/>
        </w:rPr>
        <w:t>18</w:t>
      </w:r>
      <w:r w:rsidR="0005477D">
        <w:rPr>
          <w:noProof/>
        </w:rPr>
        <w:t>]</w:t>
      </w:r>
      <w:r>
        <w:t xml:space="preserve"> was used for local realignment around novel indels based on published variants </w:t>
      </w:r>
      <w:r w:rsidR="0005477D">
        <w:rPr>
          <w:noProof/>
        </w:rPr>
        <w:t>[</w:t>
      </w:r>
      <w:r>
        <w:rPr>
          <w:noProof/>
        </w:rPr>
        <w:t>19</w:t>
      </w:r>
      <w:r w:rsidR="0005477D">
        <w:rPr>
          <w:noProof/>
        </w:rPr>
        <w:t>]</w:t>
      </w:r>
      <w:r>
        <w:t xml:space="preserve">. Base quality recalibration in GATK was performed using </w:t>
      </w:r>
      <w:proofErr w:type="spellStart"/>
      <w:r>
        <w:t>dbSNP</w:t>
      </w:r>
      <w:proofErr w:type="spellEnd"/>
      <w:r>
        <w:t xml:space="preserve"> and Illumina Canine HD chip positions. Single nucleotide variants and small indels were called with GATK </w:t>
      </w:r>
      <w:proofErr w:type="spellStart"/>
      <w:r>
        <w:t>HaplotypeCaller</w:t>
      </w:r>
      <w:proofErr w:type="spellEnd"/>
      <w:r>
        <w:t xml:space="preserve"> in </w:t>
      </w:r>
      <w:proofErr w:type="spellStart"/>
      <w:r>
        <w:t>gVCF</w:t>
      </w:r>
      <w:proofErr w:type="spellEnd"/>
      <w:r>
        <w:t xml:space="preserve"> mode to call variants in individual genomes then jointly across genomes. Variants were filtered using </w:t>
      </w:r>
      <w:proofErr w:type="spellStart"/>
      <w:r>
        <w:t>bcftools</w:t>
      </w:r>
      <w:proofErr w:type="spellEnd"/>
      <w:r>
        <w:t xml:space="preserve"> </w:t>
      </w:r>
      <w:r w:rsidR="0005477D">
        <w:rPr>
          <w:noProof/>
        </w:rPr>
        <w:t>[</w:t>
      </w:r>
      <w:r>
        <w:rPr>
          <w:noProof/>
        </w:rPr>
        <w:t>20</w:t>
      </w:r>
      <w:r w:rsidR="0005477D">
        <w:rPr>
          <w:noProof/>
        </w:rPr>
        <w:t>]</w:t>
      </w:r>
      <w:r>
        <w:t>. The VCF file included 1090 publicly available genomes from other breed dogs (S</w:t>
      </w:r>
      <w:r w:rsidR="0005477D">
        <w:t>8</w:t>
      </w:r>
      <w:r>
        <w:t xml:space="preserve"> Table</w:t>
      </w:r>
      <w:r w:rsidRPr="00FC63FC">
        <w:t>)</w:t>
      </w:r>
      <w:r>
        <w:t xml:space="preserve">, which were used to calculate allele frequencies. Filtered variants were annotated using VEP/98 </w:t>
      </w:r>
      <w:r w:rsidR="0005477D">
        <w:rPr>
          <w:noProof/>
        </w:rPr>
        <w:t>[</w:t>
      </w:r>
      <w:r>
        <w:rPr>
          <w:noProof/>
        </w:rPr>
        <w:t>20</w:t>
      </w:r>
      <w:r w:rsidR="0005477D">
        <w:rPr>
          <w:noProof/>
        </w:rPr>
        <w:t>]</w:t>
      </w:r>
      <w:r>
        <w:t xml:space="preserve">. Variants overlapping blood </w:t>
      </w:r>
      <w:proofErr w:type="spellStart"/>
      <w:r>
        <w:t>ChIP</w:t>
      </w:r>
      <w:proofErr w:type="spellEnd"/>
      <w:r>
        <w:t xml:space="preserve">-seq peaks called from the six Bernese mountain dogs and the FCR and/or assay for transposase-accessible chromatin using sequencing (ATAC-seq) data from </w:t>
      </w:r>
      <w:proofErr w:type="spellStart"/>
      <w:r>
        <w:t>Megquier</w:t>
      </w:r>
      <w:proofErr w:type="spellEnd"/>
      <w:r>
        <w:t xml:space="preserve"> et al. </w:t>
      </w:r>
      <w:r w:rsidR="0005477D">
        <w:rPr>
          <w:noProof/>
        </w:rPr>
        <w:t>[</w:t>
      </w:r>
      <w:r>
        <w:rPr>
          <w:noProof/>
        </w:rPr>
        <w:t>21</w:t>
      </w:r>
      <w:r w:rsidR="0005477D">
        <w:rPr>
          <w:noProof/>
        </w:rPr>
        <w:t>]</w:t>
      </w:r>
      <w:r>
        <w:t xml:space="preserve"> were identified with </w:t>
      </w:r>
      <w:proofErr w:type="spellStart"/>
      <w:r>
        <w:t>bedtools</w:t>
      </w:r>
      <w:proofErr w:type="spellEnd"/>
      <w:r>
        <w:t xml:space="preserve"> intersect </w:t>
      </w:r>
      <w:r w:rsidR="0005477D">
        <w:rPr>
          <w:noProof/>
        </w:rPr>
        <w:t>[</w:t>
      </w:r>
      <w:r>
        <w:rPr>
          <w:noProof/>
        </w:rPr>
        <w:t>16</w:t>
      </w:r>
      <w:r w:rsidR="0005477D">
        <w:rPr>
          <w:noProof/>
        </w:rPr>
        <w:t>]</w:t>
      </w:r>
      <w:r>
        <w:t>.</w:t>
      </w:r>
    </w:p>
    <w:p w14:paraId="18E479CA" w14:textId="77777777" w:rsidR="0036374C" w:rsidRDefault="0036374C" w:rsidP="00C965B5">
      <w:pPr>
        <w:spacing w:line="480" w:lineRule="auto"/>
        <w:rPr>
          <w:i/>
          <w:iCs/>
        </w:rPr>
      </w:pPr>
    </w:p>
    <w:p w14:paraId="1020F534" w14:textId="77777777" w:rsidR="0036374C" w:rsidRPr="00641465" w:rsidRDefault="0036374C" w:rsidP="00C965B5">
      <w:pPr>
        <w:spacing w:line="480" w:lineRule="auto"/>
        <w:rPr>
          <w:i/>
          <w:iCs/>
        </w:rPr>
      </w:pPr>
      <w:r w:rsidRPr="00641465">
        <w:rPr>
          <w:i/>
          <w:iCs/>
        </w:rPr>
        <w:t xml:space="preserve">Transcription factor </w:t>
      </w:r>
      <w:r>
        <w:rPr>
          <w:i/>
          <w:iCs/>
        </w:rPr>
        <w:t>motif analysis</w:t>
      </w:r>
    </w:p>
    <w:p w14:paraId="5B6B95EB" w14:textId="77777777" w:rsidR="0036374C" w:rsidRDefault="0036374C" w:rsidP="00D03F35">
      <w:pPr>
        <w:spacing w:line="480" w:lineRule="auto"/>
      </w:pPr>
      <w:r>
        <w:t xml:space="preserve">JASPAR CORE vertebrates 2018 motifs and JASPAR </w:t>
      </w:r>
      <w:proofErr w:type="gramStart"/>
      <w:r>
        <w:t>vertebrates</w:t>
      </w:r>
      <w:proofErr w:type="gramEnd"/>
      <w:r>
        <w:t xml:space="preserve"> matrix, with human promoters background model, were used for FIMO and </w:t>
      </w:r>
      <w:proofErr w:type="spellStart"/>
      <w:r>
        <w:t>sTRAP</w:t>
      </w:r>
      <w:proofErr w:type="spellEnd"/>
      <w:r>
        <w:t xml:space="preserve">, respectively. Significant binding affinity for either the risk or non-risk allele was defined in </w:t>
      </w:r>
      <w:proofErr w:type="spellStart"/>
      <w:r>
        <w:t>sTRAP</w:t>
      </w:r>
      <w:proofErr w:type="spellEnd"/>
      <w:r>
        <w:t xml:space="preserve"> as having p-value &lt;0.05 and difference in affinity between the sequences of log(p)≥|0.5|. For FIMO, </w:t>
      </w:r>
      <w:r>
        <w:lastRenderedPageBreak/>
        <w:t xml:space="preserve">a </w:t>
      </w:r>
      <w:proofErr w:type="spellStart"/>
      <w:r>
        <w:t>Benjamini</w:t>
      </w:r>
      <w:proofErr w:type="spellEnd"/>
      <w:r>
        <w:t>-Hochberg adjusted p-value ≤0.01 was considered significant where the TF was only called for the risk or non-risk allele sequence, but not both.</w:t>
      </w:r>
    </w:p>
    <w:p w14:paraId="496343E5" w14:textId="77777777" w:rsidR="0036374C" w:rsidRDefault="0036374C" w:rsidP="00D03F35">
      <w:pPr>
        <w:spacing w:line="480" w:lineRule="auto"/>
      </w:pPr>
    </w:p>
    <w:p w14:paraId="003074C6" w14:textId="77777777" w:rsidR="0036374C" w:rsidRDefault="0036374C" w:rsidP="000652F1">
      <w:pPr>
        <w:spacing w:line="480" w:lineRule="auto"/>
      </w:pPr>
      <w:r w:rsidRPr="00382635">
        <w:rPr>
          <w:b/>
          <w:bCs/>
        </w:rPr>
        <w:t>References</w:t>
      </w:r>
    </w:p>
    <w:p w14:paraId="5DFC7578" w14:textId="64AEACD3" w:rsidR="0036374C" w:rsidRPr="00BD6037" w:rsidRDefault="0036374C" w:rsidP="00CC451E">
      <w:pPr>
        <w:pStyle w:val="EndNoteBibliography"/>
        <w:spacing w:line="480" w:lineRule="auto"/>
        <w:rPr>
          <w:noProof/>
        </w:rPr>
      </w:pPr>
      <w:r w:rsidRPr="00BD6037">
        <w:rPr>
          <w:noProof/>
        </w:rPr>
        <w:t>1.</w:t>
      </w:r>
      <w:r w:rsidRPr="00BD6037">
        <w:rPr>
          <w:noProof/>
        </w:rPr>
        <w:tab/>
        <w:t xml:space="preserve">Erich SA, Constantino-Casas F, Dobson JM, Teske E. Morphological distinction of histiocytic sarcoma from other tumor types in </w:t>
      </w:r>
      <w:r w:rsidR="00CC451E">
        <w:rPr>
          <w:noProof/>
        </w:rPr>
        <w:t>B</w:t>
      </w:r>
      <w:r w:rsidRPr="00BD6037">
        <w:rPr>
          <w:noProof/>
        </w:rPr>
        <w:t>ernese mountain dogs and flatcoated retrievers. In Vivo. 2018;32(1):7-17.</w:t>
      </w:r>
    </w:p>
    <w:p w14:paraId="39335683" w14:textId="77777777" w:rsidR="0036374C" w:rsidRPr="00BD6037" w:rsidRDefault="0036374C" w:rsidP="00CC451E">
      <w:pPr>
        <w:pStyle w:val="EndNoteBibliography"/>
        <w:spacing w:line="480" w:lineRule="auto"/>
        <w:rPr>
          <w:noProof/>
        </w:rPr>
      </w:pPr>
      <w:r w:rsidRPr="00BD6037">
        <w:rPr>
          <w:noProof/>
        </w:rPr>
        <w:t>2.</w:t>
      </w:r>
      <w:r w:rsidRPr="00BD6037">
        <w:rPr>
          <w:noProof/>
        </w:rPr>
        <w:tab/>
        <w:t>Zhou X, Stephens M. Genome-wide efficient mixed-model analysis for association studies. Nat Genet. 2012;44(7):821-4.</w:t>
      </w:r>
    </w:p>
    <w:p w14:paraId="018AA042" w14:textId="77777777" w:rsidR="0036374C" w:rsidRPr="00BD6037" w:rsidRDefault="0036374C" w:rsidP="00CC451E">
      <w:pPr>
        <w:pStyle w:val="EndNoteBibliography"/>
        <w:spacing w:line="480" w:lineRule="auto"/>
        <w:rPr>
          <w:noProof/>
        </w:rPr>
      </w:pPr>
      <w:r w:rsidRPr="00BD6037">
        <w:rPr>
          <w:noProof/>
        </w:rPr>
        <w:t>3.</w:t>
      </w:r>
      <w:r w:rsidRPr="00BD6037">
        <w:rPr>
          <w:noProof/>
        </w:rPr>
        <w:tab/>
        <w:t>Patterson N, Price AL, Reich D. Population structure and eigenanalysis. PLoS Genet. 2006;2(12):e190.</w:t>
      </w:r>
    </w:p>
    <w:p w14:paraId="3E32AE16" w14:textId="34F96C78" w:rsidR="0036374C" w:rsidRPr="00BD6037" w:rsidRDefault="0036374C" w:rsidP="00CC451E">
      <w:pPr>
        <w:pStyle w:val="EndNoteBibliography"/>
        <w:spacing w:line="480" w:lineRule="auto"/>
        <w:rPr>
          <w:noProof/>
        </w:rPr>
      </w:pPr>
      <w:r w:rsidRPr="00BD6037">
        <w:rPr>
          <w:noProof/>
        </w:rPr>
        <w:t>4.</w:t>
      </w:r>
      <w:r w:rsidRPr="00BD6037">
        <w:rPr>
          <w:noProof/>
        </w:rPr>
        <w:tab/>
        <w:t>Yang J, Lee SH, Goddard ME, Visscher PM. G</w:t>
      </w:r>
      <w:r w:rsidR="00CC451E">
        <w:rPr>
          <w:noProof/>
        </w:rPr>
        <w:t>CTA:</w:t>
      </w:r>
      <w:r w:rsidRPr="00BD6037">
        <w:rPr>
          <w:noProof/>
        </w:rPr>
        <w:t xml:space="preserve"> A tool for genome-wide complex trait analysis. Am J Hum Genet. 2011;88(1):76-82.</w:t>
      </w:r>
    </w:p>
    <w:p w14:paraId="394D5EFB" w14:textId="6C7583E3" w:rsidR="0036374C" w:rsidRPr="00BD6037" w:rsidRDefault="0036374C" w:rsidP="00CC451E">
      <w:pPr>
        <w:pStyle w:val="EndNoteBibliography"/>
        <w:spacing w:line="480" w:lineRule="auto"/>
        <w:rPr>
          <w:noProof/>
        </w:rPr>
      </w:pPr>
      <w:r w:rsidRPr="00BD6037">
        <w:rPr>
          <w:noProof/>
        </w:rPr>
        <w:t>5.</w:t>
      </w:r>
      <w:r w:rsidRPr="00BD6037">
        <w:rPr>
          <w:noProof/>
        </w:rPr>
        <w:tab/>
        <w:t xml:space="preserve">Dobson J, Hoather T, McKinley TJ, Wood JL. Mortality in a cohort of flat-coated retrievers in the </w:t>
      </w:r>
      <w:r w:rsidR="00CC451E">
        <w:rPr>
          <w:noProof/>
        </w:rPr>
        <w:t>UK</w:t>
      </w:r>
      <w:r w:rsidRPr="00BD6037">
        <w:rPr>
          <w:noProof/>
        </w:rPr>
        <w:t>. Vet Comp Oncol. 2009;7(2):115-21.</w:t>
      </w:r>
    </w:p>
    <w:p w14:paraId="68419215" w14:textId="19E5424A" w:rsidR="0036374C" w:rsidRPr="00BD6037" w:rsidRDefault="0036374C" w:rsidP="00CC451E">
      <w:pPr>
        <w:pStyle w:val="EndNoteBibliography"/>
        <w:spacing w:line="480" w:lineRule="auto"/>
        <w:rPr>
          <w:noProof/>
        </w:rPr>
      </w:pPr>
      <w:r w:rsidRPr="00BD6037">
        <w:rPr>
          <w:noProof/>
        </w:rPr>
        <w:t>6.</w:t>
      </w:r>
      <w:r w:rsidRPr="00BD6037">
        <w:rPr>
          <w:noProof/>
        </w:rPr>
        <w:tab/>
        <w:t xml:space="preserve">Bolger AM, Lohse M, Usadel B. Trimmomatic: A flexible trimmer for </w:t>
      </w:r>
      <w:r w:rsidR="00CC451E">
        <w:rPr>
          <w:noProof/>
        </w:rPr>
        <w:t>I</w:t>
      </w:r>
      <w:r w:rsidRPr="00BD6037">
        <w:rPr>
          <w:noProof/>
        </w:rPr>
        <w:t>llumina sequence data. Bioinformatics. 2014;30(15):2114-20.</w:t>
      </w:r>
    </w:p>
    <w:p w14:paraId="368E13BC" w14:textId="0B4B45C0" w:rsidR="0036374C" w:rsidRPr="00BD6037" w:rsidRDefault="0036374C" w:rsidP="00CC451E">
      <w:pPr>
        <w:pStyle w:val="EndNoteBibliography"/>
        <w:spacing w:line="480" w:lineRule="auto"/>
        <w:rPr>
          <w:noProof/>
        </w:rPr>
      </w:pPr>
      <w:r w:rsidRPr="00BD6037">
        <w:rPr>
          <w:noProof/>
        </w:rPr>
        <w:t>7.</w:t>
      </w:r>
      <w:r w:rsidRPr="00BD6037">
        <w:rPr>
          <w:noProof/>
        </w:rPr>
        <w:tab/>
        <w:t xml:space="preserve">Owens NDL, De Domenico E, Gilchrist MJ. An </w:t>
      </w:r>
      <w:r w:rsidR="00CC451E">
        <w:rPr>
          <w:noProof/>
        </w:rPr>
        <w:t>RNA</w:t>
      </w:r>
      <w:r w:rsidRPr="00BD6037">
        <w:rPr>
          <w:noProof/>
        </w:rPr>
        <w:t>-seq protocol for differential expression analysis. Cold Spring Harb Protoc. 2019;2019(6).</w:t>
      </w:r>
    </w:p>
    <w:p w14:paraId="0397E08D" w14:textId="78ADACF6" w:rsidR="0036374C" w:rsidRPr="00BD6037" w:rsidRDefault="0036374C" w:rsidP="00CC451E">
      <w:pPr>
        <w:pStyle w:val="EndNoteBibliography"/>
        <w:spacing w:line="480" w:lineRule="auto"/>
        <w:rPr>
          <w:noProof/>
        </w:rPr>
      </w:pPr>
      <w:r w:rsidRPr="00BD6037">
        <w:rPr>
          <w:noProof/>
        </w:rPr>
        <w:t>8.</w:t>
      </w:r>
      <w:r w:rsidRPr="00BD6037">
        <w:rPr>
          <w:noProof/>
        </w:rPr>
        <w:tab/>
        <w:t xml:space="preserve">Li B, Dewey CN. Rsem: Accurate transcript quantification from </w:t>
      </w:r>
      <w:r w:rsidR="00CC451E">
        <w:rPr>
          <w:noProof/>
        </w:rPr>
        <w:t>RNA</w:t>
      </w:r>
      <w:r w:rsidRPr="00BD6037">
        <w:rPr>
          <w:noProof/>
        </w:rPr>
        <w:t>-seq data with or without a reference genome. BMC Bioinformatics. 2011;12:323.</w:t>
      </w:r>
    </w:p>
    <w:p w14:paraId="748E3F1C" w14:textId="55934126" w:rsidR="0036374C" w:rsidRPr="00BD6037" w:rsidRDefault="0036374C" w:rsidP="00CC451E">
      <w:pPr>
        <w:pStyle w:val="EndNoteBibliography"/>
        <w:spacing w:line="480" w:lineRule="auto"/>
        <w:rPr>
          <w:noProof/>
        </w:rPr>
      </w:pPr>
      <w:r w:rsidRPr="00BD6037">
        <w:rPr>
          <w:noProof/>
        </w:rPr>
        <w:lastRenderedPageBreak/>
        <w:t>9.</w:t>
      </w:r>
      <w:r w:rsidRPr="00BD6037">
        <w:rPr>
          <w:noProof/>
        </w:rPr>
        <w:tab/>
        <w:t xml:space="preserve">Wucher V, Legeai F, Hedan B, Rizk G, Lagoutte L, Leeb T, et al. </w:t>
      </w:r>
      <w:r w:rsidR="00CC451E">
        <w:rPr>
          <w:noProof/>
        </w:rPr>
        <w:t>FELLN</w:t>
      </w:r>
      <w:r w:rsidRPr="00BD6037">
        <w:rPr>
          <w:noProof/>
        </w:rPr>
        <w:t xml:space="preserve">c: A tool for long non-coding </w:t>
      </w:r>
      <w:r w:rsidR="00CC451E">
        <w:rPr>
          <w:noProof/>
        </w:rPr>
        <w:t>RNA</w:t>
      </w:r>
      <w:r w:rsidRPr="00BD6037">
        <w:rPr>
          <w:noProof/>
        </w:rPr>
        <w:t xml:space="preserve"> annotation and its application to the dog transcriptome. Nucleic Acids Res. 2017;45(8):e57.</w:t>
      </w:r>
    </w:p>
    <w:p w14:paraId="101816BA" w14:textId="544A857F" w:rsidR="0036374C" w:rsidRPr="00BD6037" w:rsidRDefault="0036374C" w:rsidP="00CC451E">
      <w:pPr>
        <w:pStyle w:val="EndNoteBibliography"/>
        <w:spacing w:line="480" w:lineRule="auto"/>
        <w:rPr>
          <w:noProof/>
        </w:rPr>
      </w:pPr>
      <w:r w:rsidRPr="00BD6037">
        <w:rPr>
          <w:noProof/>
        </w:rPr>
        <w:t>10.</w:t>
      </w:r>
      <w:r w:rsidRPr="00BD6037">
        <w:rPr>
          <w:noProof/>
        </w:rPr>
        <w:tab/>
        <w:t xml:space="preserve">Dobin A, Davis CA, Schlesinger F, Drenkow J, Zaleski C, Jha S, et al. Star: Ultrafast universal </w:t>
      </w:r>
      <w:r w:rsidR="00CC451E">
        <w:rPr>
          <w:noProof/>
        </w:rPr>
        <w:t>RNA</w:t>
      </w:r>
      <w:r w:rsidRPr="00BD6037">
        <w:rPr>
          <w:noProof/>
        </w:rPr>
        <w:t>-seq aligner. Bioinformatics. 2013;29(1):15-21.</w:t>
      </w:r>
    </w:p>
    <w:p w14:paraId="072C934C" w14:textId="77777777" w:rsidR="0036374C" w:rsidRPr="00BD6037" w:rsidRDefault="0036374C" w:rsidP="00CC451E">
      <w:pPr>
        <w:pStyle w:val="EndNoteBibliography"/>
        <w:spacing w:line="480" w:lineRule="auto"/>
        <w:rPr>
          <w:noProof/>
        </w:rPr>
      </w:pPr>
      <w:r w:rsidRPr="00BD6037">
        <w:rPr>
          <w:noProof/>
        </w:rPr>
        <w:t>11.</w:t>
      </w:r>
      <w:r w:rsidRPr="00BD6037">
        <w:rPr>
          <w:noProof/>
        </w:rPr>
        <w:tab/>
        <w:t>McKenna A, Hanna M, Banks E, Sivachenko A, Cibulskis K, Kernytsky A, et al. The genome analysis toolkit: A mapreduce framework for analyzing next-generation DNA sequencing data. Genome Res. 2010;20(9):1297-303.</w:t>
      </w:r>
    </w:p>
    <w:p w14:paraId="541B8727" w14:textId="37B05B7B" w:rsidR="0036374C" w:rsidRPr="00BD6037" w:rsidRDefault="0036374C" w:rsidP="00CC451E">
      <w:pPr>
        <w:pStyle w:val="EndNoteBibliography"/>
        <w:spacing w:line="480" w:lineRule="auto"/>
        <w:rPr>
          <w:noProof/>
        </w:rPr>
      </w:pPr>
      <w:r w:rsidRPr="00BD6037">
        <w:rPr>
          <w:noProof/>
        </w:rPr>
        <w:t>12.</w:t>
      </w:r>
      <w:r w:rsidRPr="00BD6037">
        <w:rPr>
          <w:noProof/>
        </w:rPr>
        <w:tab/>
        <w:t xml:space="preserve">Li H, Durbin R. Fast and accurate short read alignment with </w:t>
      </w:r>
      <w:r w:rsidR="00CC451E">
        <w:rPr>
          <w:noProof/>
        </w:rPr>
        <w:t>B</w:t>
      </w:r>
      <w:r w:rsidRPr="00BD6037">
        <w:rPr>
          <w:noProof/>
        </w:rPr>
        <w:t>urrows-</w:t>
      </w:r>
      <w:r w:rsidR="00CC451E">
        <w:rPr>
          <w:noProof/>
        </w:rPr>
        <w:t>W</w:t>
      </w:r>
      <w:r w:rsidRPr="00BD6037">
        <w:rPr>
          <w:noProof/>
        </w:rPr>
        <w:t>heeler transform. Bioinformatics. 2009;25(14):1754-60.</w:t>
      </w:r>
    </w:p>
    <w:p w14:paraId="3F1CB404" w14:textId="77777777" w:rsidR="0036374C" w:rsidRPr="00BD6037" w:rsidRDefault="0036374C" w:rsidP="00CC451E">
      <w:pPr>
        <w:pStyle w:val="EndNoteBibliography"/>
        <w:spacing w:line="480" w:lineRule="auto"/>
        <w:rPr>
          <w:noProof/>
        </w:rPr>
      </w:pPr>
      <w:r w:rsidRPr="00BD6037">
        <w:rPr>
          <w:noProof/>
        </w:rPr>
        <w:t>13.</w:t>
      </w:r>
      <w:r w:rsidRPr="00BD6037">
        <w:rPr>
          <w:noProof/>
        </w:rPr>
        <w:tab/>
        <w:t xml:space="preserve">Li H. Aligning sequence reads, clone sequences and assembly contigs with bwa-mem2013 March 01, 2013:[arXiv:1303.3997 p.]. Available from: </w:t>
      </w:r>
      <w:r w:rsidRPr="0036374C">
        <w:rPr>
          <w:noProof/>
        </w:rPr>
        <w:t>https://ui.adsabs.harvard.edu/abs/2013arXiv1303.3997L</w:t>
      </w:r>
      <w:r w:rsidRPr="00BD6037">
        <w:rPr>
          <w:noProof/>
        </w:rPr>
        <w:t>.</w:t>
      </w:r>
    </w:p>
    <w:p w14:paraId="4B32D6EB" w14:textId="77777777" w:rsidR="0036374C" w:rsidRPr="00BD6037" w:rsidRDefault="0036374C" w:rsidP="00CC451E">
      <w:pPr>
        <w:pStyle w:val="EndNoteBibliography"/>
        <w:spacing w:line="480" w:lineRule="auto"/>
        <w:rPr>
          <w:noProof/>
        </w:rPr>
      </w:pPr>
      <w:r w:rsidRPr="00BD6037">
        <w:rPr>
          <w:noProof/>
        </w:rPr>
        <w:t>14.</w:t>
      </w:r>
      <w:r w:rsidRPr="00BD6037">
        <w:rPr>
          <w:noProof/>
        </w:rPr>
        <w:tab/>
        <w:t>Li H, Handsaker B, Wysoker A, Fennell T, Ruan J, Homer N, et al. The sequence alignment/map format and samtools. Bioinformatics. 2009;25(16):2078-9.</w:t>
      </w:r>
    </w:p>
    <w:p w14:paraId="786BCA90" w14:textId="6EFFCD55" w:rsidR="0036374C" w:rsidRPr="00BD6037" w:rsidRDefault="0036374C" w:rsidP="00CC451E">
      <w:pPr>
        <w:pStyle w:val="EndNoteBibliography"/>
        <w:spacing w:line="480" w:lineRule="auto"/>
        <w:rPr>
          <w:noProof/>
        </w:rPr>
      </w:pPr>
      <w:r w:rsidRPr="00BD6037">
        <w:rPr>
          <w:noProof/>
        </w:rPr>
        <w:t>15.</w:t>
      </w:r>
      <w:r w:rsidRPr="00BD6037">
        <w:rPr>
          <w:noProof/>
        </w:rPr>
        <w:tab/>
        <w:t xml:space="preserve">Zhang Y, Liu T, Meyer CA, Eeckhoute J, Johnson DS, Bernstein BE, et al. Model-based analysis of </w:t>
      </w:r>
      <w:r w:rsidR="00CC451E">
        <w:rPr>
          <w:noProof/>
        </w:rPr>
        <w:t>ChIP</w:t>
      </w:r>
      <w:r w:rsidRPr="00BD6037">
        <w:rPr>
          <w:noProof/>
        </w:rPr>
        <w:t>-seq (</w:t>
      </w:r>
      <w:r w:rsidR="00CC451E">
        <w:rPr>
          <w:noProof/>
        </w:rPr>
        <w:t>MACS</w:t>
      </w:r>
      <w:r w:rsidRPr="00BD6037">
        <w:rPr>
          <w:noProof/>
        </w:rPr>
        <w:t>). Genome Biol. 2008;9(9):R137.</w:t>
      </w:r>
    </w:p>
    <w:p w14:paraId="5A46E44E" w14:textId="77777777" w:rsidR="0036374C" w:rsidRPr="00BD6037" w:rsidRDefault="0036374C" w:rsidP="00CC451E">
      <w:pPr>
        <w:pStyle w:val="EndNoteBibliography"/>
        <w:spacing w:line="480" w:lineRule="auto"/>
        <w:rPr>
          <w:noProof/>
        </w:rPr>
      </w:pPr>
      <w:r w:rsidRPr="00BD6037">
        <w:rPr>
          <w:noProof/>
        </w:rPr>
        <w:t>16.</w:t>
      </w:r>
      <w:r w:rsidRPr="00BD6037">
        <w:rPr>
          <w:noProof/>
        </w:rPr>
        <w:tab/>
        <w:t>Quinlan AR, Hall IM. Bedtools: A flexible suite of utilities for comparing genomic features. Bioinformatics. 2010;26(6):841-2.</w:t>
      </w:r>
    </w:p>
    <w:p w14:paraId="6CB1770C" w14:textId="77777777" w:rsidR="0036374C" w:rsidRPr="00BD6037" w:rsidRDefault="0036374C" w:rsidP="00CC451E">
      <w:pPr>
        <w:pStyle w:val="EndNoteBibliography"/>
        <w:spacing w:line="480" w:lineRule="auto"/>
        <w:rPr>
          <w:noProof/>
        </w:rPr>
      </w:pPr>
      <w:r w:rsidRPr="00BD6037">
        <w:rPr>
          <w:noProof/>
        </w:rPr>
        <w:t>17.</w:t>
      </w:r>
      <w:r w:rsidRPr="00BD6037">
        <w:rPr>
          <w:noProof/>
        </w:rPr>
        <w:tab/>
        <w:t xml:space="preserve">Picard toolkit: Broad Institute; 2019 [cited 2021 Mar 28]. Available from: </w:t>
      </w:r>
      <w:r w:rsidRPr="0036374C">
        <w:rPr>
          <w:noProof/>
        </w:rPr>
        <w:t>http://broadinstitute.github.io/picard/</w:t>
      </w:r>
      <w:r w:rsidRPr="00BD6037">
        <w:rPr>
          <w:noProof/>
        </w:rPr>
        <w:t>.</w:t>
      </w:r>
    </w:p>
    <w:p w14:paraId="6F310B15" w14:textId="77777777" w:rsidR="0036374C" w:rsidRPr="00BD6037" w:rsidRDefault="0036374C" w:rsidP="00CC451E">
      <w:pPr>
        <w:pStyle w:val="EndNoteBibliography"/>
        <w:spacing w:line="480" w:lineRule="auto"/>
        <w:rPr>
          <w:noProof/>
        </w:rPr>
      </w:pPr>
      <w:r w:rsidRPr="00BD6037">
        <w:rPr>
          <w:noProof/>
        </w:rPr>
        <w:lastRenderedPageBreak/>
        <w:t>18.</w:t>
      </w:r>
      <w:r w:rsidRPr="00BD6037">
        <w:rPr>
          <w:noProof/>
        </w:rPr>
        <w:tab/>
        <w:t>DePristo MA, Banks E, Poplin R, Garimella KV, Maguire JR, Hartl C, et al. A framework for variation discovery and genotyping using next-generation DNA sequencing data. Nat Genet. 2011;43(5):491-8.</w:t>
      </w:r>
    </w:p>
    <w:p w14:paraId="47830B0E" w14:textId="77777777" w:rsidR="0036374C" w:rsidRPr="00BD6037" w:rsidRDefault="0036374C" w:rsidP="00CC451E">
      <w:pPr>
        <w:pStyle w:val="EndNoteBibliography"/>
        <w:spacing w:line="480" w:lineRule="auto"/>
        <w:rPr>
          <w:noProof/>
        </w:rPr>
      </w:pPr>
      <w:r w:rsidRPr="00BD6037">
        <w:rPr>
          <w:noProof/>
        </w:rPr>
        <w:t>19.</w:t>
      </w:r>
      <w:r w:rsidRPr="00BD6037">
        <w:rPr>
          <w:noProof/>
        </w:rPr>
        <w:tab/>
        <w:t>Axelsson E, Ratnakumar A, Arendt ML, Maqbool K, Webster MT, Perloski M, et al. The genomic signature of dog domestication reveals adaptation to a starch-rich diet. Nature. 2013;495(7441):360-4.</w:t>
      </w:r>
    </w:p>
    <w:p w14:paraId="094BFD9E" w14:textId="7E2EBDE3" w:rsidR="0036374C" w:rsidRPr="00BD6037" w:rsidRDefault="0036374C" w:rsidP="00CC451E">
      <w:pPr>
        <w:pStyle w:val="EndNoteBibliography"/>
        <w:spacing w:line="480" w:lineRule="auto"/>
        <w:rPr>
          <w:noProof/>
        </w:rPr>
      </w:pPr>
      <w:r w:rsidRPr="00BD6037">
        <w:rPr>
          <w:noProof/>
        </w:rPr>
        <w:t>20.</w:t>
      </w:r>
      <w:r w:rsidRPr="00BD6037">
        <w:rPr>
          <w:noProof/>
        </w:rPr>
        <w:tab/>
        <w:t xml:space="preserve">Li H. A statistical framework for </w:t>
      </w:r>
      <w:r w:rsidR="00CC451E">
        <w:rPr>
          <w:noProof/>
        </w:rPr>
        <w:t>SNP</w:t>
      </w:r>
      <w:r w:rsidRPr="00BD6037">
        <w:rPr>
          <w:noProof/>
        </w:rPr>
        <w:t xml:space="preserve"> calling, mutation discovery, association mapping and population genetical parameter estimation from sequencing data. Bioinformatics. 2011;27(21):2987-93.</w:t>
      </w:r>
    </w:p>
    <w:p w14:paraId="434D4E98" w14:textId="77777777" w:rsidR="0036374C" w:rsidRPr="00BD6037" w:rsidRDefault="0036374C" w:rsidP="00CC451E">
      <w:pPr>
        <w:pStyle w:val="EndNoteBibliography"/>
        <w:spacing w:line="480" w:lineRule="auto"/>
        <w:rPr>
          <w:noProof/>
        </w:rPr>
      </w:pPr>
      <w:r w:rsidRPr="00BD6037">
        <w:rPr>
          <w:noProof/>
        </w:rPr>
        <w:t>21.</w:t>
      </w:r>
      <w:r w:rsidRPr="00BD6037">
        <w:rPr>
          <w:noProof/>
        </w:rPr>
        <w:tab/>
        <w:t>Megquier K, Genereux DP, Hekman J, Swofford R, Turner-Maier J, Johnson J, et al. Barkbase: Epigenomic annotation of canine genomes. Genes (Basel). 2019;10(6).</w:t>
      </w:r>
    </w:p>
    <w:p w14:paraId="07CCFFE7" w14:textId="77777777" w:rsidR="0036374C" w:rsidRDefault="0036374C" w:rsidP="000652F1">
      <w:pPr>
        <w:spacing w:line="480" w:lineRule="auto"/>
      </w:pPr>
    </w:p>
    <w:p w14:paraId="5E81FCDC" w14:textId="77777777" w:rsidR="00E4495F" w:rsidRDefault="00E4495F"/>
    <w:sectPr w:rsidR="00E4495F" w:rsidSect="00E00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6374C"/>
    <w:rsid w:val="00003F76"/>
    <w:rsid w:val="00047463"/>
    <w:rsid w:val="0005468B"/>
    <w:rsid w:val="0005477D"/>
    <w:rsid w:val="00056659"/>
    <w:rsid w:val="00072864"/>
    <w:rsid w:val="000C64B4"/>
    <w:rsid w:val="000E6408"/>
    <w:rsid w:val="000F6BC9"/>
    <w:rsid w:val="00101DAF"/>
    <w:rsid w:val="0010641C"/>
    <w:rsid w:val="001263EA"/>
    <w:rsid w:val="00141F71"/>
    <w:rsid w:val="00143585"/>
    <w:rsid w:val="00154432"/>
    <w:rsid w:val="00154D51"/>
    <w:rsid w:val="00157E07"/>
    <w:rsid w:val="00183364"/>
    <w:rsid w:val="00191685"/>
    <w:rsid w:val="001B5350"/>
    <w:rsid w:val="001D2C20"/>
    <w:rsid w:val="00200E23"/>
    <w:rsid w:val="002056E7"/>
    <w:rsid w:val="00215711"/>
    <w:rsid w:val="002212FD"/>
    <w:rsid w:val="002912C9"/>
    <w:rsid w:val="002F5A93"/>
    <w:rsid w:val="00301905"/>
    <w:rsid w:val="0030756A"/>
    <w:rsid w:val="003215CF"/>
    <w:rsid w:val="0034727A"/>
    <w:rsid w:val="0035783B"/>
    <w:rsid w:val="0036351F"/>
    <w:rsid w:val="0036374C"/>
    <w:rsid w:val="00367F13"/>
    <w:rsid w:val="00370093"/>
    <w:rsid w:val="003A1617"/>
    <w:rsid w:val="003A70FE"/>
    <w:rsid w:val="003B6213"/>
    <w:rsid w:val="003C10C4"/>
    <w:rsid w:val="003E4E3C"/>
    <w:rsid w:val="0040512F"/>
    <w:rsid w:val="00407972"/>
    <w:rsid w:val="00415B1D"/>
    <w:rsid w:val="004160E7"/>
    <w:rsid w:val="004445F5"/>
    <w:rsid w:val="00481473"/>
    <w:rsid w:val="004C4563"/>
    <w:rsid w:val="0050025B"/>
    <w:rsid w:val="0057143A"/>
    <w:rsid w:val="005754EC"/>
    <w:rsid w:val="0057635D"/>
    <w:rsid w:val="005830B3"/>
    <w:rsid w:val="0059618C"/>
    <w:rsid w:val="005A672E"/>
    <w:rsid w:val="005B4F62"/>
    <w:rsid w:val="005C2520"/>
    <w:rsid w:val="005F2AC0"/>
    <w:rsid w:val="00606C67"/>
    <w:rsid w:val="00635F70"/>
    <w:rsid w:val="00653D6D"/>
    <w:rsid w:val="00675500"/>
    <w:rsid w:val="006765FF"/>
    <w:rsid w:val="006840F4"/>
    <w:rsid w:val="006B2687"/>
    <w:rsid w:val="006B697A"/>
    <w:rsid w:val="006B75EE"/>
    <w:rsid w:val="006D232D"/>
    <w:rsid w:val="006E0F58"/>
    <w:rsid w:val="006E3B73"/>
    <w:rsid w:val="006E5A2C"/>
    <w:rsid w:val="006F1B0A"/>
    <w:rsid w:val="007025F7"/>
    <w:rsid w:val="00716327"/>
    <w:rsid w:val="0074101B"/>
    <w:rsid w:val="007632EE"/>
    <w:rsid w:val="00763676"/>
    <w:rsid w:val="007A172B"/>
    <w:rsid w:val="007B6A0A"/>
    <w:rsid w:val="007D05D4"/>
    <w:rsid w:val="007F5F00"/>
    <w:rsid w:val="00802631"/>
    <w:rsid w:val="00821C9F"/>
    <w:rsid w:val="0085272F"/>
    <w:rsid w:val="00854DA1"/>
    <w:rsid w:val="008556B6"/>
    <w:rsid w:val="00865753"/>
    <w:rsid w:val="00867F4D"/>
    <w:rsid w:val="008908BB"/>
    <w:rsid w:val="008E0E7B"/>
    <w:rsid w:val="008E18DD"/>
    <w:rsid w:val="008F3B2D"/>
    <w:rsid w:val="0092535B"/>
    <w:rsid w:val="00953F52"/>
    <w:rsid w:val="00956132"/>
    <w:rsid w:val="009600EA"/>
    <w:rsid w:val="009702BC"/>
    <w:rsid w:val="00976CFA"/>
    <w:rsid w:val="00984195"/>
    <w:rsid w:val="0098540F"/>
    <w:rsid w:val="00991B7B"/>
    <w:rsid w:val="00991E1D"/>
    <w:rsid w:val="00993600"/>
    <w:rsid w:val="00997B77"/>
    <w:rsid w:val="009D18AD"/>
    <w:rsid w:val="009E15FA"/>
    <w:rsid w:val="009E2955"/>
    <w:rsid w:val="009F1A5C"/>
    <w:rsid w:val="00A06C59"/>
    <w:rsid w:val="00A2294E"/>
    <w:rsid w:val="00A3004B"/>
    <w:rsid w:val="00A51D6C"/>
    <w:rsid w:val="00A6763A"/>
    <w:rsid w:val="00A92405"/>
    <w:rsid w:val="00A9243A"/>
    <w:rsid w:val="00AB4C13"/>
    <w:rsid w:val="00AC0F87"/>
    <w:rsid w:val="00AF45FD"/>
    <w:rsid w:val="00B324C2"/>
    <w:rsid w:val="00B34D09"/>
    <w:rsid w:val="00B40DA1"/>
    <w:rsid w:val="00B56823"/>
    <w:rsid w:val="00B62E4C"/>
    <w:rsid w:val="00B727D7"/>
    <w:rsid w:val="00B73123"/>
    <w:rsid w:val="00B843F5"/>
    <w:rsid w:val="00B9599A"/>
    <w:rsid w:val="00B96E9B"/>
    <w:rsid w:val="00BB582B"/>
    <w:rsid w:val="00BE268C"/>
    <w:rsid w:val="00C15742"/>
    <w:rsid w:val="00C40AC7"/>
    <w:rsid w:val="00C455CD"/>
    <w:rsid w:val="00C741CE"/>
    <w:rsid w:val="00C77F6F"/>
    <w:rsid w:val="00C95798"/>
    <w:rsid w:val="00CB31FF"/>
    <w:rsid w:val="00CC1011"/>
    <w:rsid w:val="00CC451E"/>
    <w:rsid w:val="00CF70EE"/>
    <w:rsid w:val="00D35B04"/>
    <w:rsid w:val="00D37427"/>
    <w:rsid w:val="00D40789"/>
    <w:rsid w:val="00D52995"/>
    <w:rsid w:val="00D964BA"/>
    <w:rsid w:val="00E12AF6"/>
    <w:rsid w:val="00E33342"/>
    <w:rsid w:val="00E366A6"/>
    <w:rsid w:val="00E4495F"/>
    <w:rsid w:val="00E614E7"/>
    <w:rsid w:val="00E641FF"/>
    <w:rsid w:val="00EB61AA"/>
    <w:rsid w:val="00ED1872"/>
    <w:rsid w:val="00EE3818"/>
    <w:rsid w:val="00EF2A9D"/>
    <w:rsid w:val="00F3271B"/>
    <w:rsid w:val="00F64F81"/>
    <w:rsid w:val="00F65D4D"/>
    <w:rsid w:val="00F70EA3"/>
    <w:rsid w:val="00F84519"/>
    <w:rsid w:val="00F91F7F"/>
    <w:rsid w:val="00F93C4B"/>
    <w:rsid w:val="00FA627F"/>
    <w:rsid w:val="00FC0556"/>
    <w:rsid w:val="00FC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89ED1"/>
  <w15:chartTrackingRefBased/>
  <w15:docId w15:val="{9D211098-8F2D-9045-AB1B-9703F19F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7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7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374C"/>
    <w:rPr>
      <w:sz w:val="16"/>
      <w:szCs w:val="16"/>
    </w:rPr>
  </w:style>
  <w:style w:type="paragraph" w:styleId="CommentText">
    <w:name w:val="annotation text"/>
    <w:basedOn w:val="Normal"/>
    <w:link w:val="CommentTextChar"/>
    <w:uiPriority w:val="99"/>
    <w:semiHidden/>
    <w:unhideWhenUsed/>
    <w:rsid w:val="0036374C"/>
    <w:rPr>
      <w:sz w:val="20"/>
      <w:szCs w:val="20"/>
    </w:rPr>
  </w:style>
  <w:style w:type="character" w:customStyle="1" w:styleId="CommentTextChar">
    <w:name w:val="Comment Text Char"/>
    <w:basedOn w:val="DefaultParagraphFont"/>
    <w:link w:val="CommentText"/>
    <w:uiPriority w:val="99"/>
    <w:semiHidden/>
    <w:rsid w:val="0036374C"/>
    <w:rPr>
      <w:sz w:val="20"/>
      <w:szCs w:val="20"/>
    </w:rPr>
  </w:style>
  <w:style w:type="paragraph" w:customStyle="1" w:styleId="EndNoteBibliographyTitle">
    <w:name w:val="EndNote Bibliography Title"/>
    <w:basedOn w:val="Normal"/>
    <w:link w:val="EndNoteBibliographyTitleChar"/>
    <w:rsid w:val="0036374C"/>
    <w:pPr>
      <w:jc w:val="center"/>
    </w:pPr>
  </w:style>
  <w:style w:type="character" w:customStyle="1" w:styleId="EndNoteBibliographyTitleChar">
    <w:name w:val="EndNote Bibliography Title Char"/>
    <w:basedOn w:val="DefaultParagraphFont"/>
    <w:link w:val="EndNoteBibliographyTitle"/>
    <w:rsid w:val="0036374C"/>
  </w:style>
  <w:style w:type="paragraph" w:customStyle="1" w:styleId="EndNoteBibliography">
    <w:name w:val="EndNote Bibliography"/>
    <w:basedOn w:val="Normal"/>
    <w:link w:val="EndNoteBibliographyChar"/>
    <w:rsid w:val="0036374C"/>
  </w:style>
  <w:style w:type="character" w:customStyle="1" w:styleId="EndNoteBibliographyChar">
    <w:name w:val="EndNote Bibliography Char"/>
    <w:basedOn w:val="DefaultParagraphFont"/>
    <w:link w:val="EndNoteBibliography"/>
    <w:rsid w:val="0036374C"/>
  </w:style>
  <w:style w:type="character" w:styleId="LineNumber">
    <w:name w:val="line number"/>
    <w:basedOn w:val="DefaultParagraphFont"/>
    <w:uiPriority w:val="99"/>
    <w:semiHidden/>
    <w:unhideWhenUsed/>
    <w:rsid w:val="0036374C"/>
  </w:style>
  <w:style w:type="character" w:styleId="Hyperlink">
    <w:name w:val="Hyperlink"/>
    <w:basedOn w:val="DefaultParagraphFont"/>
    <w:uiPriority w:val="99"/>
    <w:unhideWhenUsed/>
    <w:rsid w:val="0036374C"/>
    <w:rPr>
      <w:color w:val="0563C1" w:themeColor="hyperlink"/>
      <w:u w:val="single"/>
    </w:rPr>
  </w:style>
  <w:style w:type="character" w:styleId="UnresolvedMention">
    <w:name w:val="Unresolved Mention"/>
    <w:basedOn w:val="DefaultParagraphFont"/>
    <w:uiPriority w:val="99"/>
    <w:semiHidden/>
    <w:unhideWhenUsed/>
    <w:rsid w:val="003637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374C"/>
    <w:rPr>
      <w:b/>
      <w:bCs/>
    </w:rPr>
  </w:style>
  <w:style w:type="character" w:customStyle="1" w:styleId="CommentSubjectChar">
    <w:name w:val="Comment Subject Char"/>
    <w:basedOn w:val="CommentTextChar"/>
    <w:link w:val="CommentSubject"/>
    <w:uiPriority w:val="99"/>
    <w:semiHidden/>
    <w:rsid w:val="00363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Jacquelyn (NIH/NIGMS) [F]</dc:creator>
  <cp:keywords/>
  <dc:description/>
  <cp:lastModifiedBy>Evans, Jacquelyn (NIH/NIGMS) [F]</cp:lastModifiedBy>
  <cp:revision>3</cp:revision>
  <dcterms:created xsi:type="dcterms:W3CDTF">2021-04-01T04:56:00Z</dcterms:created>
  <dcterms:modified xsi:type="dcterms:W3CDTF">2021-04-13T21:49:00Z</dcterms:modified>
</cp:coreProperties>
</file>