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93B8C" w14:textId="77777777" w:rsidR="0010544D" w:rsidRPr="0060503C" w:rsidRDefault="0010544D" w:rsidP="0010544D">
      <w:pPr>
        <w:pStyle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S24</w:t>
      </w:r>
      <w:r w:rsidRPr="0060503C">
        <w:rPr>
          <w:rFonts w:ascii="Arial" w:hAnsi="Arial" w:cs="Arial"/>
          <w:bCs/>
          <w:sz w:val="22"/>
          <w:szCs w:val="22"/>
        </w:rPr>
        <w:t xml:space="preserve"> Table:</w:t>
      </w:r>
      <w:r w:rsidRPr="0060503C">
        <w:rPr>
          <w:rFonts w:ascii="Arial" w:hAnsi="Arial" w:cs="Arial"/>
          <w:sz w:val="22"/>
          <w:szCs w:val="22"/>
        </w:rPr>
        <w:t xml:space="preserve"> phenotype inclusion and transformation for metabolic and quantitative cardiovascular traits.</w:t>
      </w:r>
    </w:p>
    <w:p w14:paraId="078E6259" w14:textId="77777777" w:rsidR="0010544D" w:rsidRPr="00193EE5" w:rsidRDefault="0010544D" w:rsidP="0010544D">
      <w:pPr>
        <w:pStyle w:val="3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7793"/>
      </w:tblGrid>
      <w:tr w:rsidR="0010544D" w:rsidRPr="00193EE5" w14:paraId="164D892E" w14:textId="77777777" w:rsidTr="00324910">
        <w:tc>
          <w:tcPr>
            <w:tcW w:w="83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5FA6CD" w14:textId="77777777" w:rsidR="0010544D" w:rsidRPr="00193EE5" w:rsidRDefault="0010544D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hAnsi="Arial" w:cs="Arial"/>
                <w:sz w:val="20"/>
                <w:szCs w:val="20"/>
              </w:rPr>
              <w:t>Trait</w:t>
            </w:r>
          </w:p>
        </w:tc>
        <w:tc>
          <w:tcPr>
            <w:tcW w:w="416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8F08B2" w14:textId="77777777" w:rsidR="0010544D" w:rsidRPr="00193EE5" w:rsidRDefault="0010544D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hAnsi="Arial" w:cs="Arial"/>
                <w:sz w:val="20"/>
                <w:szCs w:val="20"/>
              </w:rPr>
              <w:t>Inclusion criteria and transformation</w:t>
            </w:r>
          </w:p>
        </w:tc>
      </w:tr>
      <w:tr w:rsidR="0010544D" w:rsidRPr="00193EE5" w14:paraId="60993C94" w14:textId="77777777" w:rsidTr="00324910">
        <w:trPr>
          <w:trHeight w:val="317"/>
        </w:trPr>
        <w:tc>
          <w:tcPr>
            <w:tcW w:w="837" w:type="pct"/>
            <w:tcBorders>
              <w:top w:val="single" w:sz="4" w:space="0" w:color="auto"/>
            </w:tcBorders>
            <w:vAlign w:val="center"/>
          </w:tcPr>
          <w:p w14:paraId="37946E92" w14:textId="77777777" w:rsidR="0010544D" w:rsidRPr="00193EE5" w:rsidRDefault="0010544D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hAnsi="Arial" w:cs="Arial"/>
                <w:sz w:val="20"/>
                <w:szCs w:val="20"/>
              </w:rPr>
              <w:t>Glucose</w:t>
            </w:r>
          </w:p>
        </w:tc>
        <w:tc>
          <w:tcPr>
            <w:tcW w:w="4163" w:type="pct"/>
            <w:tcBorders>
              <w:top w:val="single" w:sz="4" w:space="0" w:color="auto"/>
            </w:tcBorders>
            <w:vAlign w:val="center"/>
          </w:tcPr>
          <w:p w14:paraId="5462AE1B" w14:textId="77777777" w:rsidR="0010544D" w:rsidRPr="00193EE5" w:rsidRDefault="0010544D" w:rsidP="00324910">
            <w:pPr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hAnsi="Arial" w:cs="Arial"/>
                <w:sz w:val="20"/>
                <w:szCs w:val="20"/>
              </w:rPr>
              <w:t>Remove individuals with non-fasting glucose, with measurement greater than 7 mmol/L, who are pregnant, or have type-2 diabetes.</w:t>
            </w:r>
          </w:p>
          <w:p w14:paraId="68BE1E31" w14:textId="77777777" w:rsidR="0010544D" w:rsidRPr="00193EE5" w:rsidRDefault="0010544D" w:rsidP="00324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44D" w:rsidRPr="00193EE5" w14:paraId="00181840" w14:textId="77777777" w:rsidTr="00324910">
        <w:trPr>
          <w:trHeight w:val="317"/>
        </w:trPr>
        <w:tc>
          <w:tcPr>
            <w:tcW w:w="837" w:type="pct"/>
            <w:vAlign w:val="center"/>
          </w:tcPr>
          <w:p w14:paraId="71B5E07D" w14:textId="77777777" w:rsidR="0010544D" w:rsidRPr="00193EE5" w:rsidRDefault="0010544D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4163" w:type="pct"/>
            <w:vAlign w:val="center"/>
          </w:tcPr>
          <w:p w14:paraId="69721CBC" w14:textId="77777777" w:rsidR="0010544D" w:rsidRPr="00193EE5" w:rsidRDefault="0010544D" w:rsidP="00324910">
            <w:pPr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hAnsi="Arial" w:cs="Arial"/>
                <w:sz w:val="20"/>
                <w:szCs w:val="20"/>
              </w:rPr>
              <w:t xml:space="preserve">Remove individuals with non-fasting insulin, with measurement of glucose greater than 7 mmol/L, who are pregnant, or have type 2. Insulin is then log-transformed. </w:t>
            </w:r>
          </w:p>
          <w:p w14:paraId="59C545EA" w14:textId="77777777" w:rsidR="0010544D" w:rsidRPr="00193EE5" w:rsidRDefault="0010544D" w:rsidP="00324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44D" w:rsidRPr="00193EE5" w14:paraId="6C073B2B" w14:textId="77777777" w:rsidTr="00324910">
        <w:trPr>
          <w:trHeight w:val="317"/>
        </w:trPr>
        <w:tc>
          <w:tcPr>
            <w:tcW w:w="837" w:type="pct"/>
            <w:vAlign w:val="center"/>
          </w:tcPr>
          <w:p w14:paraId="3766F47D" w14:textId="77777777" w:rsidR="0010544D" w:rsidRPr="00193EE5" w:rsidRDefault="0010544D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hAnsi="Arial" w:cs="Arial"/>
                <w:sz w:val="20"/>
                <w:szCs w:val="20"/>
              </w:rPr>
              <w:t>HDL</w:t>
            </w:r>
          </w:p>
        </w:tc>
        <w:tc>
          <w:tcPr>
            <w:tcW w:w="4163" w:type="pct"/>
            <w:vAlign w:val="center"/>
          </w:tcPr>
          <w:p w14:paraId="03BE43D2" w14:textId="77777777" w:rsidR="0010544D" w:rsidRPr="00193EE5" w:rsidRDefault="0010544D" w:rsidP="00324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 adjustments were made per table below, based on the approach reported in PAGE consortium</w:t>
            </w:r>
            <w:r w:rsidRPr="00193EE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If multiple medications were reported, only the correction factor with largest effect was applied. </w:t>
            </w:r>
            <w:r w:rsidRPr="00193EE5">
              <w:rPr>
                <w:rFonts w:ascii="Arial" w:hAnsi="Arial" w:cs="Arial"/>
                <w:sz w:val="20"/>
                <w:szCs w:val="20"/>
              </w:rPr>
              <w:t xml:space="preserve">Exclude individuals who are pregnant or who had not fasted for at least 8 </w:t>
            </w:r>
            <w:proofErr w:type="spellStart"/>
            <w:r w:rsidRPr="00193EE5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193EE5">
              <w:rPr>
                <w:rFonts w:ascii="Arial" w:hAnsi="Arial" w:cs="Arial"/>
                <w:sz w:val="20"/>
                <w:szCs w:val="20"/>
              </w:rPr>
              <w:t xml:space="preserve"> before blood draw.</w:t>
            </w:r>
          </w:p>
          <w:p w14:paraId="353C7953" w14:textId="77777777" w:rsidR="0010544D" w:rsidRPr="00193EE5" w:rsidRDefault="0010544D" w:rsidP="00324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44D" w:rsidRPr="00193EE5" w14:paraId="07955016" w14:textId="77777777" w:rsidTr="00324910">
        <w:trPr>
          <w:trHeight w:val="317"/>
        </w:trPr>
        <w:tc>
          <w:tcPr>
            <w:tcW w:w="837" w:type="pct"/>
            <w:vAlign w:val="center"/>
          </w:tcPr>
          <w:p w14:paraId="6C75CE8A" w14:textId="77777777" w:rsidR="0010544D" w:rsidRPr="00193EE5" w:rsidRDefault="0010544D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hAnsi="Arial" w:cs="Arial"/>
                <w:sz w:val="20"/>
                <w:szCs w:val="20"/>
              </w:rPr>
              <w:t>LDL</w:t>
            </w:r>
          </w:p>
        </w:tc>
        <w:tc>
          <w:tcPr>
            <w:tcW w:w="4163" w:type="pct"/>
            <w:vAlign w:val="center"/>
          </w:tcPr>
          <w:p w14:paraId="7E816FF3" w14:textId="77777777" w:rsidR="0010544D" w:rsidRPr="00193EE5" w:rsidRDefault="0010544D" w:rsidP="00324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 adjustments were made per table below, based on the approach reported in PAGE consortium</w:t>
            </w:r>
            <w:r w:rsidRPr="00193EE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If multiple medications were reported, only the correction factor with largest effect was applied.</w:t>
            </w:r>
            <w:r w:rsidRPr="00193EE5">
              <w:rPr>
                <w:rFonts w:ascii="Arial" w:hAnsi="Arial" w:cs="Arial"/>
                <w:sz w:val="20"/>
                <w:szCs w:val="20"/>
              </w:rPr>
              <w:t xml:space="preserve"> Exclude individuals who are pregnant or who had not fasted for at least 8 </w:t>
            </w:r>
            <w:proofErr w:type="spellStart"/>
            <w:r w:rsidRPr="00193EE5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193EE5">
              <w:rPr>
                <w:rFonts w:ascii="Arial" w:hAnsi="Arial" w:cs="Arial"/>
                <w:sz w:val="20"/>
                <w:szCs w:val="20"/>
              </w:rPr>
              <w:t xml:space="preserve"> before blood draw, or individuals with measured LDL greater than 400 mg/dL.</w:t>
            </w:r>
          </w:p>
          <w:p w14:paraId="46B0CC2A" w14:textId="77777777" w:rsidR="0010544D" w:rsidRPr="00193EE5" w:rsidRDefault="0010544D" w:rsidP="00324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44D" w:rsidRPr="00193EE5" w14:paraId="13A7C4E9" w14:textId="77777777" w:rsidTr="00324910">
        <w:trPr>
          <w:trHeight w:val="317"/>
        </w:trPr>
        <w:tc>
          <w:tcPr>
            <w:tcW w:w="837" w:type="pct"/>
            <w:vAlign w:val="center"/>
          </w:tcPr>
          <w:p w14:paraId="062E13E4" w14:textId="77777777" w:rsidR="0010544D" w:rsidRPr="00193EE5" w:rsidRDefault="0010544D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4163" w:type="pct"/>
            <w:vAlign w:val="center"/>
          </w:tcPr>
          <w:p w14:paraId="30BDD8A3" w14:textId="77777777" w:rsidR="0010544D" w:rsidRPr="00193EE5" w:rsidRDefault="0010544D" w:rsidP="00324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 adjustments were made per table below, based on the approach reported in PAGE consortium</w:t>
            </w:r>
            <w:r w:rsidRPr="00193EE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If multiple medications were reported, only the correction factor with largest effect was applied</w:t>
            </w:r>
            <w:r w:rsidRPr="00193EE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Adjusted TG was then log-transformed. </w:t>
            </w:r>
            <w:r w:rsidRPr="00193EE5">
              <w:rPr>
                <w:rFonts w:ascii="Arial" w:hAnsi="Arial" w:cs="Arial"/>
                <w:sz w:val="20"/>
                <w:szCs w:val="20"/>
              </w:rPr>
              <w:t xml:space="preserve">Exclude individuals who are pregnant or who had not fasted for at least 8 </w:t>
            </w:r>
            <w:proofErr w:type="spellStart"/>
            <w:r w:rsidRPr="00193EE5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193EE5">
              <w:rPr>
                <w:rFonts w:ascii="Arial" w:hAnsi="Arial" w:cs="Arial"/>
                <w:sz w:val="20"/>
                <w:szCs w:val="20"/>
              </w:rPr>
              <w:t xml:space="preserve"> before blood draw, or individuals with measured TG greater than 3000 mg/dL.</w:t>
            </w:r>
          </w:p>
          <w:p w14:paraId="7E2CB1A3" w14:textId="77777777" w:rsidR="0010544D" w:rsidRPr="00193EE5" w:rsidRDefault="0010544D" w:rsidP="00324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44D" w:rsidRPr="00193EE5" w14:paraId="5666A4EA" w14:textId="77777777" w:rsidTr="00324910">
        <w:trPr>
          <w:trHeight w:val="317"/>
        </w:trPr>
        <w:tc>
          <w:tcPr>
            <w:tcW w:w="837" w:type="pct"/>
            <w:vAlign w:val="center"/>
          </w:tcPr>
          <w:p w14:paraId="2639DA84" w14:textId="77777777" w:rsidR="0010544D" w:rsidRPr="00193EE5" w:rsidRDefault="0010544D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hAnsi="Arial" w:cs="Arial"/>
                <w:sz w:val="20"/>
                <w:szCs w:val="20"/>
              </w:rPr>
              <w:t>TC</w:t>
            </w:r>
          </w:p>
        </w:tc>
        <w:tc>
          <w:tcPr>
            <w:tcW w:w="4163" w:type="pct"/>
            <w:vAlign w:val="center"/>
          </w:tcPr>
          <w:p w14:paraId="1480B274" w14:textId="77777777" w:rsidR="0010544D" w:rsidRPr="00193EE5" w:rsidRDefault="0010544D" w:rsidP="00324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 adjustments were made per table below, based on the approach reported in PAGE consortium</w:t>
            </w:r>
            <w:r w:rsidRPr="00193EE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If multiple medications were reported, only the correction factor with largest effect was applied</w:t>
            </w:r>
            <w:r w:rsidRPr="00193EE5">
              <w:rPr>
                <w:rFonts w:ascii="Arial" w:hAnsi="Arial" w:cs="Arial"/>
                <w:sz w:val="20"/>
                <w:szCs w:val="20"/>
              </w:rPr>
              <w:t xml:space="preserve">. Exclude individuals who are pregnant or who had not fasted for at least 8 </w:t>
            </w:r>
            <w:proofErr w:type="spellStart"/>
            <w:r w:rsidRPr="00193EE5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193EE5">
              <w:rPr>
                <w:rFonts w:ascii="Arial" w:hAnsi="Arial" w:cs="Arial"/>
                <w:sz w:val="20"/>
                <w:szCs w:val="20"/>
              </w:rPr>
              <w:t xml:space="preserve"> before blood draw.</w:t>
            </w:r>
          </w:p>
          <w:p w14:paraId="284ABDF8" w14:textId="77777777" w:rsidR="0010544D" w:rsidRPr="00193EE5" w:rsidRDefault="0010544D" w:rsidP="00324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44D" w:rsidRPr="00193EE5" w14:paraId="31E1A256" w14:textId="77777777" w:rsidTr="00324910">
        <w:trPr>
          <w:trHeight w:val="317"/>
        </w:trPr>
        <w:tc>
          <w:tcPr>
            <w:tcW w:w="837" w:type="pct"/>
            <w:tcBorders>
              <w:bottom w:val="double" w:sz="4" w:space="0" w:color="auto"/>
            </w:tcBorders>
            <w:vAlign w:val="center"/>
          </w:tcPr>
          <w:p w14:paraId="3AD18C56" w14:textId="77777777" w:rsidR="0010544D" w:rsidRPr="00193EE5" w:rsidRDefault="0010544D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hAnsi="Arial" w:cs="Arial"/>
                <w:sz w:val="20"/>
                <w:szCs w:val="20"/>
              </w:rPr>
              <w:t>Type-2 diabetes</w:t>
            </w:r>
          </w:p>
        </w:tc>
        <w:tc>
          <w:tcPr>
            <w:tcW w:w="4163" w:type="pct"/>
            <w:tcBorders>
              <w:bottom w:val="double" w:sz="4" w:space="0" w:color="auto"/>
            </w:tcBorders>
            <w:vAlign w:val="center"/>
          </w:tcPr>
          <w:p w14:paraId="1401853A" w14:textId="77777777" w:rsidR="0010544D" w:rsidRPr="00193EE5" w:rsidRDefault="0010544D" w:rsidP="00324910">
            <w:pPr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hAnsi="Arial" w:cs="Arial"/>
                <w:sz w:val="20"/>
                <w:szCs w:val="20"/>
              </w:rPr>
              <w:t xml:space="preserve">Remove among diabetes cases those individuals who are pregnant or who have been diagnosed as type 1 diabetes. Remove cases with age under 20 and controls with glucose over 7 mmol/L. </w:t>
            </w:r>
          </w:p>
          <w:p w14:paraId="1960CE93" w14:textId="77777777" w:rsidR="0010544D" w:rsidRPr="00193EE5" w:rsidRDefault="0010544D" w:rsidP="00324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1D9B47" w14:textId="77777777" w:rsidR="0010544D" w:rsidRDefault="0010544D" w:rsidP="0010544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014"/>
        <w:gridCol w:w="1247"/>
        <w:gridCol w:w="1194"/>
        <w:gridCol w:w="1451"/>
        <w:gridCol w:w="1299"/>
        <w:gridCol w:w="2155"/>
      </w:tblGrid>
      <w:tr w:rsidR="0010544D" w14:paraId="15BFC550" w14:textId="77777777" w:rsidTr="00324910">
        <w:tc>
          <w:tcPr>
            <w:tcW w:w="1076" w:type="pct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2DACB0F" w14:textId="77777777" w:rsidR="0010544D" w:rsidRDefault="0010544D" w:rsidP="00324910">
            <w:pPr>
              <w:jc w:val="righ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Medication</w:t>
            </w:r>
          </w:p>
          <w:p w14:paraId="7EACD73C" w14:textId="77777777" w:rsidR="0010544D" w:rsidRPr="00127198" w:rsidRDefault="0010544D" w:rsidP="00324910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Trait</w:t>
            </w:r>
          </w:p>
        </w:tc>
        <w:tc>
          <w:tcPr>
            <w:tcW w:w="66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A225D" w14:textId="77777777" w:rsidR="0010544D" w:rsidRPr="001271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Fibrates</w:t>
            </w:r>
          </w:p>
        </w:tc>
        <w:tc>
          <w:tcPr>
            <w:tcW w:w="63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53682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Statins</w:t>
            </w:r>
          </w:p>
        </w:tc>
        <w:tc>
          <w:tcPr>
            <w:tcW w:w="77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8E234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Bile acid sequestrants</w:t>
            </w:r>
          </w:p>
        </w:tc>
        <w:tc>
          <w:tcPr>
            <w:tcW w:w="69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AE1F2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Niacin</w:t>
            </w:r>
          </w:p>
        </w:tc>
        <w:tc>
          <w:tcPr>
            <w:tcW w:w="115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AE0D2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Cholesterol absorption inhibitors</w:t>
            </w:r>
          </w:p>
        </w:tc>
      </w:tr>
      <w:tr w:rsidR="0010544D" w14:paraId="3A6FBCCC" w14:textId="77777777" w:rsidTr="00324910"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014C8D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H</w:t>
            </w:r>
            <w:r>
              <w:rPr>
                <w:rFonts w:ascii="Arial" w:eastAsia="SimSun" w:hAnsi="Arial" w:cs="Arial"/>
                <w:sz w:val="20"/>
                <w:szCs w:val="20"/>
              </w:rPr>
              <w:t>DL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2A9CB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-</w:t>
            </w:r>
            <w:r>
              <w:rPr>
                <w:rFonts w:ascii="Arial" w:eastAsia="SimSun" w:hAnsi="Arial" w:cs="Arial"/>
                <w:sz w:val="20"/>
                <w:szCs w:val="20"/>
              </w:rPr>
              <w:t>5.9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8B23B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-</w:t>
            </w:r>
            <w:r>
              <w:rPr>
                <w:rFonts w:ascii="Arial" w:eastAsia="SimSun" w:hAnsi="Arial" w:cs="Arial"/>
                <w:sz w:val="20"/>
                <w:szCs w:val="20"/>
              </w:rPr>
              <w:t>2.3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A40FA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-</w:t>
            </w:r>
            <w:r>
              <w:rPr>
                <w:rFonts w:ascii="Arial" w:eastAsia="SimSun" w:hAnsi="Arial" w:cs="Arial"/>
                <w:sz w:val="20"/>
                <w:szCs w:val="20"/>
              </w:rPr>
              <w:t>1.9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B6B80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-</w:t>
            </w:r>
            <w:r>
              <w:rPr>
                <w:rFonts w:ascii="Arial" w:eastAsia="SimSun" w:hAnsi="Arial" w:cs="Arial"/>
                <w:sz w:val="20"/>
                <w:szCs w:val="20"/>
              </w:rPr>
              <w:t>9.9</w:t>
            </w:r>
          </w:p>
        </w:tc>
        <w:tc>
          <w:tcPr>
            <w:tcW w:w="11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7B535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0</w:t>
            </w:r>
          </w:p>
        </w:tc>
      </w:tr>
      <w:tr w:rsidR="0010544D" w14:paraId="0633E38D" w14:textId="77777777" w:rsidTr="00324910">
        <w:tc>
          <w:tcPr>
            <w:tcW w:w="1076" w:type="pct"/>
            <w:shd w:val="clear" w:color="auto" w:fill="auto"/>
            <w:vAlign w:val="center"/>
          </w:tcPr>
          <w:p w14:paraId="6BAAB267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L</w:t>
            </w:r>
            <w:r>
              <w:rPr>
                <w:rFonts w:ascii="Arial" w:eastAsia="SimSun" w:hAnsi="Arial" w:cs="Arial"/>
                <w:sz w:val="20"/>
                <w:szCs w:val="20"/>
              </w:rPr>
              <w:t>DL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E8B0086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+</w:t>
            </w:r>
            <w:r>
              <w:rPr>
                <w:rFonts w:ascii="Arial" w:eastAsia="SimSun" w:hAnsi="Arial" w:cs="Arial"/>
                <w:sz w:val="20"/>
                <w:szCs w:val="20"/>
              </w:rPr>
              <w:t>40.1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059FC5C3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+</w:t>
            </w:r>
            <w:r>
              <w:rPr>
                <w:rFonts w:ascii="Arial" w:eastAsia="SimSun" w:hAnsi="Arial" w:cs="Arial"/>
                <w:sz w:val="20"/>
                <w:szCs w:val="20"/>
              </w:rPr>
              <w:t>49.9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D727C57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+</w:t>
            </w:r>
            <w:r>
              <w:rPr>
                <w:rFonts w:ascii="Arial" w:eastAsia="SimSun" w:hAnsi="Arial" w:cs="Arial"/>
                <w:sz w:val="20"/>
                <w:szCs w:val="20"/>
              </w:rPr>
              <w:t>40.5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0C18FFC8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+</w:t>
            </w:r>
            <w:r>
              <w:rPr>
                <w:rFonts w:ascii="Arial" w:eastAsia="SimSun" w:hAnsi="Arial" w:cs="Arial"/>
                <w:sz w:val="20"/>
                <w:szCs w:val="20"/>
              </w:rPr>
              <w:t>24.7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36195DE5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+</w:t>
            </w:r>
            <w:r>
              <w:rPr>
                <w:rFonts w:ascii="Arial" w:eastAsia="SimSun" w:hAnsi="Arial" w:cs="Arial"/>
                <w:sz w:val="20"/>
                <w:szCs w:val="20"/>
              </w:rPr>
              <w:t>40.5</w:t>
            </w:r>
          </w:p>
        </w:tc>
      </w:tr>
      <w:tr w:rsidR="0010544D" w14:paraId="2F090F0E" w14:textId="77777777" w:rsidTr="00324910">
        <w:tc>
          <w:tcPr>
            <w:tcW w:w="1076" w:type="pct"/>
            <w:shd w:val="clear" w:color="auto" w:fill="auto"/>
            <w:vAlign w:val="center"/>
          </w:tcPr>
          <w:p w14:paraId="0FAD4508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T</w:t>
            </w:r>
            <w:r>
              <w:rPr>
                <w:rFonts w:ascii="Arial" w:eastAsia="SimSun" w:hAnsi="Arial" w:cs="Arial"/>
                <w:sz w:val="20"/>
                <w:szCs w:val="20"/>
              </w:rPr>
              <w:t>G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53E0F37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+</w:t>
            </w:r>
            <w:r>
              <w:rPr>
                <w:rFonts w:ascii="Arial" w:eastAsia="SimSun" w:hAnsi="Arial" w:cs="Arial"/>
                <w:sz w:val="20"/>
                <w:szCs w:val="20"/>
              </w:rPr>
              <w:t>57.1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38DA5326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+</w:t>
            </w:r>
            <w:r>
              <w:rPr>
                <w:rFonts w:ascii="Arial" w:eastAsia="SimSun" w:hAnsi="Arial" w:cs="Arial"/>
                <w:sz w:val="20"/>
                <w:szCs w:val="20"/>
              </w:rPr>
              <w:t>18.4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2AB4AC0D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703940FE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+</w:t>
            </w:r>
            <w:r>
              <w:rPr>
                <w:rFonts w:ascii="Arial" w:eastAsia="SimSun" w:hAnsi="Arial" w:cs="Arial"/>
                <w:sz w:val="20"/>
                <w:szCs w:val="20"/>
              </w:rPr>
              <w:t>89.4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5F7F3B0B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0</w:t>
            </w:r>
          </w:p>
        </w:tc>
      </w:tr>
      <w:tr w:rsidR="0010544D" w14:paraId="434CE44D" w14:textId="77777777" w:rsidTr="00324910">
        <w:tc>
          <w:tcPr>
            <w:tcW w:w="107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9361CF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T</w:t>
            </w:r>
            <w:r>
              <w:rPr>
                <w:rFonts w:ascii="Arial" w:eastAsia="SimSun" w:hAnsi="Arial" w:cs="Arial"/>
                <w:sz w:val="20"/>
                <w:szCs w:val="20"/>
              </w:rPr>
              <w:t>C</w:t>
            </w:r>
          </w:p>
        </w:tc>
        <w:tc>
          <w:tcPr>
            <w:tcW w:w="66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1BEDE1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+</w:t>
            </w:r>
            <w:r>
              <w:rPr>
                <w:rFonts w:ascii="Arial" w:eastAsia="SimSun" w:hAnsi="Arial" w:cs="Arial"/>
                <w:sz w:val="20"/>
                <w:szCs w:val="20"/>
              </w:rPr>
              <w:t>46.1</w:t>
            </w:r>
          </w:p>
        </w:tc>
        <w:tc>
          <w:tcPr>
            <w:tcW w:w="63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81CCF9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+</w:t>
            </w:r>
            <w:r>
              <w:rPr>
                <w:rFonts w:ascii="Arial" w:eastAsia="SimSun" w:hAnsi="Arial" w:cs="Arial"/>
                <w:sz w:val="20"/>
                <w:szCs w:val="20"/>
              </w:rPr>
              <w:t>52.1</w:t>
            </w:r>
          </w:p>
        </w:tc>
        <w:tc>
          <w:tcPr>
            <w:tcW w:w="77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A1263B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69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445AA2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+</w:t>
            </w:r>
            <w:r>
              <w:rPr>
                <w:rFonts w:ascii="Arial" w:eastAsia="SimSun" w:hAnsi="Arial" w:cs="Arial"/>
                <w:sz w:val="20"/>
                <w:szCs w:val="20"/>
              </w:rPr>
              <w:t>34.6</w:t>
            </w:r>
          </w:p>
        </w:tc>
        <w:tc>
          <w:tcPr>
            <w:tcW w:w="115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55D158" w14:textId="77777777" w:rsidR="0010544D" w:rsidRPr="00456F98" w:rsidRDefault="0010544D" w:rsidP="003249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+</w:t>
            </w:r>
            <w:r>
              <w:rPr>
                <w:rFonts w:ascii="Arial" w:eastAsia="SimSun" w:hAnsi="Arial" w:cs="Arial"/>
                <w:sz w:val="20"/>
                <w:szCs w:val="20"/>
              </w:rPr>
              <w:t>40.5</w:t>
            </w:r>
          </w:p>
        </w:tc>
      </w:tr>
    </w:tbl>
    <w:p w14:paraId="77DF34D0" w14:textId="77777777" w:rsidR="0010544D" w:rsidRPr="00193EE5" w:rsidRDefault="0010544D" w:rsidP="0010544D">
      <w:pPr>
        <w:jc w:val="both"/>
        <w:rPr>
          <w:rFonts w:ascii="Arial" w:hAnsi="Arial" w:cs="Arial"/>
          <w:sz w:val="20"/>
          <w:szCs w:val="20"/>
        </w:rPr>
      </w:pPr>
    </w:p>
    <w:p w14:paraId="48F9FD68" w14:textId="77777777" w:rsidR="0010544D" w:rsidRPr="004C30B6" w:rsidRDefault="0010544D" w:rsidP="0010544D">
      <w:pPr>
        <w:jc w:val="both"/>
        <w:rPr>
          <w:rFonts w:ascii="Arial" w:hAnsi="Arial" w:cs="Arial"/>
          <w:sz w:val="22"/>
          <w:szCs w:val="22"/>
        </w:rPr>
      </w:pPr>
      <w:r w:rsidRPr="004C30B6">
        <w:rPr>
          <w:rFonts w:ascii="Arial" w:hAnsi="Arial" w:cs="Arial"/>
          <w:sz w:val="22"/>
          <w:szCs w:val="22"/>
        </w:rPr>
        <w:t>These traits were studied in PAGE consortium and we thus follow the same criteria and transformation.</w:t>
      </w:r>
    </w:p>
    <w:p w14:paraId="65F96663" w14:textId="77777777" w:rsidR="0010544D" w:rsidRDefault="0010544D"/>
    <w:sectPr w:rsidR="0010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4D"/>
    <w:rsid w:val="0010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5ECC2"/>
  <w15:chartTrackingRefBased/>
  <w15:docId w15:val="{A6B4EB61-5C99-774D-9B3F-B125DED3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4D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44D"/>
    <w:rPr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标题3"/>
    <w:basedOn w:val="Normal"/>
    <w:link w:val="30"/>
    <w:rsid w:val="0010544D"/>
    <w:rPr>
      <w:rFonts w:eastAsiaTheme="minorEastAsia"/>
      <w:b/>
      <w:kern w:val="2"/>
    </w:rPr>
  </w:style>
  <w:style w:type="character" w:customStyle="1" w:styleId="30">
    <w:name w:val="标题3 字符"/>
    <w:basedOn w:val="DefaultParagraphFont"/>
    <w:link w:val="3"/>
    <w:rsid w:val="0010544D"/>
    <w:rPr>
      <w:rFonts w:ascii="Times New Roman" w:hAnsi="Times New Roman" w:cs="Times New Roman"/>
      <w:b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Charleston Chiang</dc:creator>
  <cp:keywords/>
  <dc:description/>
  <cp:lastModifiedBy>Charleston Chiang</cp:lastModifiedBy>
  <cp:revision>1</cp:revision>
  <dcterms:created xsi:type="dcterms:W3CDTF">2020-12-15T21:48:00Z</dcterms:created>
  <dcterms:modified xsi:type="dcterms:W3CDTF">2020-12-15T21:48:00Z</dcterms:modified>
</cp:coreProperties>
</file>