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C12E" w14:textId="77777777" w:rsidR="000077BB" w:rsidRPr="00C5728B" w:rsidRDefault="000077BB" w:rsidP="000077BB">
      <w:pPr>
        <w:rPr>
          <w:rFonts w:ascii="Arial" w:hAnsi="Arial" w:cs="Arial"/>
          <w:b/>
          <w:sz w:val="20"/>
          <w:szCs w:val="20"/>
        </w:rPr>
      </w:pPr>
      <w:r w:rsidRPr="00C5728B">
        <w:rPr>
          <w:rFonts w:ascii="Arial" w:hAnsi="Arial" w:cs="Arial"/>
          <w:b/>
          <w:sz w:val="22"/>
          <w:szCs w:val="22"/>
        </w:rPr>
        <w:t>S13 Table: Details of the association statistics of the covariates and global ancestries of hypertension.</w:t>
      </w:r>
    </w:p>
    <w:p w14:paraId="045BA4A2" w14:textId="77777777" w:rsidR="000077BB" w:rsidRPr="00193EE5" w:rsidRDefault="000077BB" w:rsidP="000077BB">
      <w:pPr>
        <w:pStyle w:val="3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3"/>
        <w:gridCol w:w="1361"/>
        <w:gridCol w:w="1449"/>
        <w:gridCol w:w="1329"/>
        <w:gridCol w:w="1681"/>
        <w:gridCol w:w="977"/>
      </w:tblGrid>
      <w:tr w:rsidR="000077BB" w:rsidRPr="00193EE5" w14:paraId="62A0E361" w14:textId="77777777" w:rsidTr="00324910">
        <w:trPr>
          <w:trHeight w:val="285"/>
        </w:trPr>
        <w:tc>
          <w:tcPr>
            <w:tcW w:w="5000" w:type="pct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AC780B1" w14:textId="77777777" w:rsidR="000077BB" w:rsidRPr="00193EE5" w:rsidRDefault="000077BB" w:rsidP="00324910">
            <w:pPr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Model 1: logistic regression based on covariates</w:t>
            </w:r>
          </w:p>
        </w:tc>
      </w:tr>
      <w:tr w:rsidR="000077BB" w:rsidRPr="00193EE5" w14:paraId="4A34DD23" w14:textId="77777777" w:rsidTr="00324910">
        <w:trPr>
          <w:trHeight w:val="285"/>
        </w:trPr>
        <w:tc>
          <w:tcPr>
            <w:tcW w:w="1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13FE923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v</w:t>
            </w: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ariables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DFC8F2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32CAE99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43316C0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6FC7E46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4F196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df</w:t>
            </w:r>
          </w:p>
        </w:tc>
      </w:tr>
      <w:tr w:rsidR="000077BB" w:rsidRPr="00193EE5" w14:paraId="1DE210B0" w14:textId="77777777" w:rsidTr="00324910">
        <w:trPr>
          <w:trHeight w:val="285"/>
        </w:trPr>
        <w:tc>
          <w:tcPr>
            <w:tcW w:w="1369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691452CA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BB90FBC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-5.2619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59D7EE9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0.5108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61A5B6D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-10.302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C3259EF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&lt;2×10</w:t>
            </w: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B110E6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2235</w:t>
            </w:r>
          </w:p>
        </w:tc>
      </w:tr>
      <w:tr w:rsidR="000077BB" w:rsidRPr="00193EE5" w14:paraId="12A373D8" w14:textId="77777777" w:rsidTr="00324910">
        <w:trPr>
          <w:trHeight w:val="285"/>
        </w:trPr>
        <w:tc>
          <w:tcPr>
            <w:tcW w:w="136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04A6EE35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32CCF"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 xml:space="preserve"> (at baseline)</w:t>
            </w:r>
          </w:p>
        </w:tc>
        <w:tc>
          <w:tcPr>
            <w:tcW w:w="727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130D188F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0.0859</w:t>
            </w:r>
          </w:p>
        </w:tc>
        <w:tc>
          <w:tcPr>
            <w:tcW w:w="774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7873ED5A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71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126599DF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11.269</w:t>
            </w:r>
          </w:p>
        </w:tc>
        <w:tc>
          <w:tcPr>
            <w:tcW w:w="89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5ECCC35F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&lt;2×10</w:t>
            </w: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522" w:type="pct"/>
            <w:vMerge/>
            <w:tcBorders>
              <w:left w:val="nil"/>
              <w:right w:val="nil"/>
            </w:tcBorders>
          </w:tcPr>
          <w:p w14:paraId="706FF8AA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0077BB" w:rsidRPr="00193EE5" w14:paraId="58DD45A7" w14:textId="77777777" w:rsidTr="00324910">
        <w:trPr>
          <w:trHeight w:val="285"/>
        </w:trPr>
        <w:tc>
          <w:tcPr>
            <w:tcW w:w="1369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9FD01B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proofErr w:type="spellStart"/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bmi</w:t>
            </w:r>
            <w:proofErr w:type="spellEnd"/>
          </w:p>
        </w:tc>
        <w:tc>
          <w:tcPr>
            <w:tcW w:w="727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FF5CD9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0.0537</w:t>
            </w:r>
          </w:p>
        </w:tc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99BDC9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71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129067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5.812</w:t>
            </w:r>
          </w:p>
        </w:tc>
        <w:tc>
          <w:tcPr>
            <w:tcW w:w="898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3A84BA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6.17×10</w:t>
            </w: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02AE15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0077BB" w:rsidRPr="00193EE5" w14:paraId="33EE787A" w14:textId="77777777" w:rsidTr="00324910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C5F255" w14:textId="77777777" w:rsidR="000077BB" w:rsidRPr="00193EE5" w:rsidRDefault="000077BB" w:rsidP="00324910">
            <w:pPr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Model 2: logistics regression between hypertension and covariates</w:t>
            </w:r>
          </w:p>
        </w:tc>
      </w:tr>
      <w:tr w:rsidR="000077BB" w:rsidRPr="00193EE5" w14:paraId="3E5C4141" w14:textId="77777777" w:rsidTr="00324910">
        <w:trPr>
          <w:trHeight w:val="285"/>
        </w:trPr>
        <w:tc>
          <w:tcPr>
            <w:tcW w:w="1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90B2BD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intercept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25F55E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-5.8251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4308E3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0.5313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8E27A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-10.963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53F75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&lt;2×10</w:t>
            </w: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FF03CDF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2232</w:t>
            </w:r>
          </w:p>
        </w:tc>
      </w:tr>
      <w:tr w:rsidR="000077BB" w:rsidRPr="00193EE5" w14:paraId="1C53F1C5" w14:textId="77777777" w:rsidTr="00324910">
        <w:trPr>
          <w:trHeight w:val="285"/>
        </w:trPr>
        <w:tc>
          <w:tcPr>
            <w:tcW w:w="1369" w:type="pct"/>
            <w:noWrap/>
            <w:vAlign w:val="center"/>
          </w:tcPr>
          <w:p w14:paraId="74403965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PNS</w:t>
            </w:r>
          </w:p>
        </w:tc>
        <w:tc>
          <w:tcPr>
            <w:tcW w:w="727" w:type="pct"/>
            <w:noWrap/>
            <w:vAlign w:val="center"/>
          </w:tcPr>
          <w:p w14:paraId="5EE6CF47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0.3842</w:t>
            </w:r>
          </w:p>
        </w:tc>
        <w:tc>
          <w:tcPr>
            <w:tcW w:w="774" w:type="pct"/>
            <w:noWrap/>
            <w:vAlign w:val="center"/>
          </w:tcPr>
          <w:p w14:paraId="57AAACBC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0.2570</w:t>
            </w:r>
          </w:p>
        </w:tc>
        <w:tc>
          <w:tcPr>
            <w:tcW w:w="710" w:type="pct"/>
            <w:noWrap/>
            <w:vAlign w:val="center"/>
          </w:tcPr>
          <w:p w14:paraId="49B18F40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1.495</w:t>
            </w:r>
          </w:p>
        </w:tc>
        <w:tc>
          <w:tcPr>
            <w:tcW w:w="898" w:type="pct"/>
            <w:noWrap/>
            <w:vAlign w:val="center"/>
          </w:tcPr>
          <w:p w14:paraId="3BD153C1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522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14:paraId="6886F438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0077BB" w:rsidRPr="00193EE5" w14:paraId="2ADABC45" w14:textId="77777777" w:rsidTr="00324910">
        <w:trPr>
          <w:trHeight w:val="285"/>
        </w:trPr>
        <w:tc>
          <w:tcPr>
            <w:tcW w:w="1369" w:type="pct"/>
            <w:noWrap/>
            <w:vAlign w:val="center"/>
          </w:tcPr>
          <w:p w14:paraId="5B6EDBD8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EAS</w:t>
            </w:r>
          </w:p>
        </w:tc>
        <w:tc>
          <w:tcPr>
            <w:tcW w:w="727" w:type="pct"/>
            <w:noWrap/>
            <w:vAlign w:val="center"/>
          </w:tcPr>
          <w:p w14:paraId="46F4E009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0.8783</w:t>
            </w:r>
          </w:p>
        </w:tc>
        <w:tc>
          <w:tcPr>
            <w:tcW w:w="774" w:type="pct"/>
            <w:noWrap/>
            <w:vAlign w:val="center"/>
          </w:tcPr>
          <w:p w14:paraId="3B4388B2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0.2053</w:t>
            </w:r>
          </w:p>
        </w:tc>
        <w:tc>
          <w:tcPr>
            <w:tcW w:w="710" w:type="pct"/>
            <w:noWrap/>
            <w:vAlign w:val="center"/>
          </w:tcPr>
          <w:p w14:paraId="28DFDCD2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4.277</w:t>
            </w:r>
          </w:p>
        </w:tc>
        <w:tc>
          <w:tcPr>
            <w:tcW w:w="898" w:type="pct"/>
            <w:noWrap/>
            <w:vAlign w:val="center"/>
          </w:tcPr>
          <w:p w14:paraId="2F273B0F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1.89×10</w:t>
            </w: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22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14:paraId="0F116EF7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0077BB" w:rsidRPr="00193EE5" w14:paraId="6022834C" w14:textId="77777777" w:rsidTr="00324910">
        <w:trPr>
          <w:trHeight w:val="285"/>
        </w:trPr>
        <w:tc>
          <w:tcPr>
            <w:tcW w:w="1369" w:type="pct"/>
            <w:noWrap/>
            <w:vAlign w:val="center"/>
            <w:hideMark/>
          </w:tcPr>
          <w:p w14:paraId="247561EF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hAnsi="Arial" w:cs="Arial"/>
                <w:sz w:val="20"/>
                <w:szCs w:val="20"/>
              </w:rPr>
              <w:t>AFR</w:t>
            </w:r>
          </w:p>
        </w:tc>
        <w:tc>
          <w:tcPr>
            <w:tcW w:w="727" w:type="pct"/>
            <w:noWrap/>
            <w:vAlign w:val="center"/>
            <w:hideMark/>
          </w:tcPr>
          <w:p w14:paraId="463AD083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-0.9459</w:t>
            </w:r>
          </w:p>
        </w:tc>
        <w:tc>
          <w:tcPr>
            <w:tcW w:w="774" w:type="pct"/>
            <w:noWrap/>
            <w:vAlign w:val="center"/>
            <w:hideMark/>
          </w:tcPr>
          <w:p w14:paraId="595DFE64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1.7337</w:t>
            </w:r>
          </w:p>
        </w:tc>
        <w:tc>
          <w:tcPr>
            <w:tcW w:w="710" w:type="pct"/>
            <w:noWrap/>
            <w:vAlign w:val="center"/>
            <w:hideMark/>
          </w:tcPr>
          <w:p w14:paraId="05F52324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-0.546</w:t>
            </w:r>
          </w:p>
        </w:tc>
        <w:tc>
          <w:tcPr>
            <w:tcW w:w="898" w:type="pct"/>
            <w:noWrap/>
            <w:vAlign w:val="center"/>
            <w:hideMark/>
          </w:tcPr>
          <w:p w14:paraId="2851C344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522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14:paraId="63BCE177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0077BB" w:rsidRPr="00193EE5" w14:paraId="2C17FF0C" w14:textId="77777777" w:rsidTr="00324910">
        <w:trPr>
          <w:trHeight w:val="285"/>
        </w:trPr>
        <w:tc>
          <w:tcPr>
            <w:tcW w:w="1369" w:type="pct"/>
            <w:noWrap/>
            <w:vAlign w:val="center"/>
            <w:hideMark/>
          </w:tcPr>
          <w:p w14:paraId="2713D81F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32CCF"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 xml:space="preserve"> (at baseline)</w:t>
            </w:r>
          </w:p>
        </w:tc>
        <w:tc>
          <w:tcPr>
            <w:tcW w:w="727" w:type="pct"/>
            <w:noWrap/>
            <w:vAlign w:val="center"/>
            <w:hideMark/>
          </w:tcPr>
          <w:p w14:paraId="3F56EB1D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0.0865</w:t>
            </w:r>
          </w:p>
        </w:tc>
        <w:tc>
          <w:tcPr>
            <w:tcW w:w="774" w:type="pct"/>
            <w:noWrap/>
            <w:vAlign w:val="center"/>
            <w:hideMark/>
          </w:tcPr>
          <w:p w14:paraId="048686D0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710" w:type="pct"/>
            <w:noWrap/>
            <w:vAlign w:val="center"/>
            <w:hideMark/>
          </w:tcPr>
          <w:p w14:paraId="37EE93C8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11.296</w:t>
            </w:r>
          </w:p>
        </w:tc>
        <w:tc>
          <w:tcPr>
            <w:tcW w:w="898" w:type="pct"/>
            <w:noWrap/>
            <w:vAlign w:val="center"/>
            <w:hideMark/>
          </w:tcPr>
          <w:p w14:paraId="56A83EAA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&lt;2×10</w:t>
            </w: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522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14:paraId="0F78E5E3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0077BB" w:rsidRPr="00193EE5" w14:paraId="45E5C046" w14:textId="77777777" w:rsidTr="00324910">
        <w:trPr>
          <w:trHeight w:val="285"/>
        </w:trPr>
        <w:tc>
          <w:tcPr>
            <w:tcW w:w="1369" w:type="pct"/>
            <w:tcBorders>
              <w:bottom w:val="double" w:sz="4" w:space="0" w:color="auto"/>
            </w:tcBorders>
            <w:noWrap/>
            <w:vAlign w:val="center"/>
            <w:hideMark/>
          </w:tcPr>
          <w:p w14:paraId="2FA03113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3EE5">
              <w:rPr>
                <w:rFonts w:ascii="Arial" w:hAnsi="Arial" w:cs="Arial"/>
                <w:sz w:val="20"/>
                <w:szCs w:val="20"/>
              </w:rPr>
              <w:t>bmi</w:t>
            </w:r>
            <w:proofErr w:type="spellEnd"/>
          </w:p>
        </w:tc>
        <w:tc>
          <w:tcPr>
            <w:tcW w:w="727" w:type="pct"/>
            <w:tcBorders>
              <w:bottom w:val="double" w:sz="4" w:space="0" w:color="auto"/>
            </w:tcBorders>
            <w:noWrap/>
            <w:vAlign w:val="center"/>
            <w:hideMark/>
          </w:tcPr>
          <w:p w14:paraId="2F8764D8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0.0584</w:t>
            </w:r>
          </w:p>
        </w:tc>
        <w:tc>
          <w:tcPr>
            <w:tcW w:w="774" w:type="pct"/>
            <w:tcBorders>
              <w:bottom w:val="double" w:sz="4" w:space="0" w:color="auto"/>
            </w:tcBorders>
            <w:noWrap/>
            <w:vAlign w:val="center"/>
            <w:hideMark/>
          </w:tcPr>
          <w:p w14:paraId="78347C1F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710" w:type="pct"/>
            <w:tcBorders>
              <w:bottom w:val="double" w:sz="4" w:space="0" w:color="auto"/>
            </w:tcBorders>
            <w:noWrap/>
            <w:vAlign w:val="center"/>
            <w:hideMark/>
          </w:tcPr>
          <w:p w14:paraId="108AA04F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6.129</w:t>
            </w:r>
          </w:p>
        </w:tc>
        <w:tc>
          <w:tcPr>
            <w:tcW w:w="898" w:type="pct"/>
            <w:tcBorders>
              <w:bottom w:val="double" w:sz="4" w:space="0" w:color="auto"/>
            </w:tcBorders>
            <w:noWrap/>
            <w:vAlign w:val="center"/>
            <w:hideMark/>
          </w:tcPr>
          <w:p w14:paraId="3134B1AB" w14:textId="77777777" w:rsidR="000077BB" w:rsidRPr="00193EE5" w:rsidRDefault="000077BB" w:rsidP="0032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</w:rPr>
              <w:t>8.85×10</w:t>
            </w:r>
            <w:r w:rsidRPr="00193EE5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522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14:paraId="4D90C516" w14:textId="77777777" w:rsidR="000077BB" w:rsidRPr="00193EE5" w:rsidRDefault="000077BB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</w:tbl>
    <w:p w14:paraId="1A0E0AC2" w14:textId="77777777" w:rsidR="000077BB" w:rsidRPr="00193EE5" w:rsidRDefault="000077BB" w:rsidP="000077BB">
      <w:pPr>
        <w:rPr>
          <w:rFonts w:ascii="Arial" w:hAnsi="Arial" w:cs="Arial"/>
          <w:sz w:val="20"/>
          <w:szCs w:val="20"/>
        </w:rPr>
      </w:pPr>
    </w:p>
    <w:p w14:paraId="27BF7956" w14:textId="77777777" w:rsidR="000077BB" w:rsidRPr="000E5AD2" w:rsidRDefault="000077BB" w:rsidP="000077BB">
      <w:pPr>
        <w:jc w:val="both"/>
        <w:rPr>
          <w:rFonts w:ascii="Arial" w:hAnsi="Arial" w:cs="Arial"/>
          <w:sz w:val="22"/>
          <w:szCs w:val="22"/>
        </w:rPr>
      </w:pPr>
      <w:r w:rsidRPr="000E5AD2">
        <w:rPr>
          <w:rFonts w:ascii="Arial" w:hAnsi="Arial" w:cs="Arial"/>
          <w:sz w:val="22"/>
          <w:szCs w:val="22"/>
        </w:rPr>
        <w:t xml:space="preserve">Model 1 models the non-genetic covariates according to the heuristic described in the </w:t>
      </w:r>
      <w:r w:rsidRPr="000E5AD2">
        <w:rPr>
          <w:rFonts w:ascii="Arial" w:hAnsi="Arial" w:cs="Arial"/>
          <w:b/>
          <w:sz w:val="22"/>
          <w:szCs w:val="22"/>
        </w:rPr>
        <w:t>Methods</w:t>
      </w:r>
      <w:r w:rsidRPr="000E5AD2">
        <w:rPr>
          <w:rFonts w:ascii="Arial" w:hAnsi="Arial" w:cs="Arial"/>
          <w:sz w:val="22"/>
          <w:szCs w:val="22"/>
        </w:rPr>
        <w:t>. Model 2 then includes global ancestries in addition to the significant covariates.</w:t>
      </w:r>
    </w:p>
    <w:p w14:paraId="779EAF4E" w14:textId="77777777" w:rsidR="000077BB" w:rsidRPr="00193EE5" w:rsidRDefault="000077BB" w:rsidP="000077BB">
      <w:pPr>
        <w:rPr>
          <w:rFonts w:ascii="Arial" w:hAnsi="Arial" w:cs="Arial"/>
          <w:sz w:val="20"/>
          <w:szCs w:val="20"/>
        </w:rPr>
      </w:pPr>
    </w:p>
    <w:p w14:paraId="10C05750" w14:textId="77777777" w:rsidR="000077BB" w:rsidRDefault="000077BB"/>
    <w:sectPr w:rsidR="0000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BB"/>
    <w:rsid w:val="000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34588"/>
  <w15:chartTrackingRefBased/>
  <w15:docId w15:val="{4F9FC811-3B26-7449-B078-93F5EF5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BB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标题3"/>
    <w:basedOn w:val="Normal"/>
    <w:link w:val="30"/>
    <w:rsid w:val="000077BB"/>
    <w:rPr>
      <w:rFonts w:eastAsiaTheme="minorEastAsia"/>
      <w:b/>
      <w:kern w:val="2"/>
    </w:rPr>
  </w:style>
  <w:style w:type="character" w:customStyle="1" w:styleId="30">
    <w:name w:val="标题3 字符"/>
    <w:basedOn w:val="DefaultParagraphFont"/>
    <w:link w:val="3"/>
    <w:rsid w:val="000077BB"/>
    <w:rPr>
      <w:rFonts w:ascii="Times New Roman" w:hAnsi="Times New Roman" w:cs="Times New Roman"/>
      <w:b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Charleston Chiang</dc:creator>
  <cp:keywords/>
  <dc:description/>
  <cp:lastModifiedBy>Charleston Chiang</cp:lastModifiedBy>
  <cp:revision>1</cp:revision>
  <dcterms:created xsi:type="dcterms:W3CDTF">2020-12-15T21:40:00Z</dcterms:created>
  <dcterms:modified xsi:type="dcterms:W3CDTF">2020-12-15T21:43:00Z</dcterms:modified>
</cp:coreProperties>
</file>