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24036" w14:textId="77777777" w:rsidR="00983122" w:rsidRPr="00D9548E" w:rsidRDefault="00983122" w:rsidP="00983122">
      <w:pPr>
        <w:keepNext/>
        <w:spacing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AU"/>
        </w:rPr>
      </w:pPr>
      <w:r w:rsidRPr="00D9548E">
        <w:rPr>
          <w:rFonts w:ascii="Times New Roman" w:eastAsia="Calibri" w:hAnsi="Times New Roman" w:cs="Times New Roman"/>
          <w:b/>
          <w:color w:val="000000"/>
          <w:sz w:val="20"/>
          <w:szCs w:val="20"/>
          <w:lang w:val="en-AU"/>
        </w:rPr>
        <w:t xml:space="preserve">S3 Table: Contingency table showing the overlap of cattle stature genes from Bouwman </w:t>
      </w:r>
      <w:r w:rsidRPr="00D9548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val="en-AU"/>
        </w:rPr>
        <w:t>et al</w:t>
      </w:r>
      <w:r w:rsidRPr="00D9548E">
        <w:rPr>
          <w:rFonts w:ascii="Times New Roman" w:eastAsia="Calibri" w:hAnsi="Times New Roman" w:cs="Times New Roman"/>
          <w:b/>
          <w:color w:val="000000"/>
          <w:sz w:val="20"/>
          <w:szCs w:val="20"/>
          <w:lang w:val="en-AU"/>
        </w:rPr>
        <w:t xml:space="preserve">. [12] with human height genes from Yengo </w:t>
      </w:r>
      <w:r w:rsidRPr="00D9548E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val="en-AU"/>
        </w:rPr>
        <w:t>et al</w:t>
      </w:r>
      <w:r w:rsidRPr="00D9548E">
        <w:rPr>
          <w:rFonts w:ascii="Times New Roman" w:eastAsia="Calibri" w:hAnsi="Times New Roman" w:cs="Times New Roman"/>
          <w:b/>
          <w:color w:val="000000"/>
          <w:sz w:val="20"/>
          <w:szCs w:val="20"/>
          <w:lang w:val="en-AU"/>
        </w:rPr>
        <w:t>. [10].</w:t>
      </w: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2694"/>
        <w:gridCol w:w="2126"/>
        <w:gridCol w:w="2693"/>
        <w:gridCol w:w="2126"/>
      </w:tblGrid>
      <w:tr w:rsidR="00983122" w:rsidRPr="002921D2" w14:paraId="088F2025" w14:textId="77777777" w:rsidTr="00FC013D"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</w:tcPr>
          <w:p w14:paraId="6F1635B9" w14:textId="77777777" w:rsidR="00983122" w:rsidRPr="002921D2" w:rsidRDefault="00983122" w:rsidP="00FC013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4217FFCE" w14:textId="5B136824" w:rsidR="00983122" w:rsidRPr="002921D2" w:rsidRDefault="00983122" w:rsidP="00FC013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In Yengo </w:t>
            </w:r>
            <w:r w:rsidRPr="002921D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et al</w:t>
            </w: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921D2">
              <w:rPr>
                <w:rFonts w:ascii="Times New Roman" w:eastAsia="Calibri" w:hAnsi="Times New Roman" w:cs="Times New Roman"/>
                <w:iCs/>
                <w:noProof/>
                <w:color w:val="000000"/>
                <w:sz w:val="20"/>
                <w:szCs w:val="20"/>
              </w:rPr>
              <w:t>[</w:t>
            </w:r>
            <w:r w:rsidR="00BF526C">
              <w:rPr>
                <w:rFonts w:ascii="Times New Roman" w:eastAsia="Calibri" w:hAnsi="Times New Roman" w:cs="Times New Roman"/>
                <w:iCs/>
                <w:noProof/>
                <w:color w:val="000000"/>
                <w:sz w:val="20"/>
                <w:szCs w:val="20"/>
              </w:rPr>
              <w:t>10</w:t>
            </w:r>
            <w:r w:rsidRPr="002921D2">
              <w:rPr>
                <w:rFonts w:ascii="Times New Roman" w:eastAsia="Calibri" w:hAnsi="Times New Roman" w:cs="Times New Roman"/>
                <w:iCs/>
                <w:noProof/>
                <w:color w:val="000000"/>
                <w:sz w:val="20"/>
                <w:szCs w:val="20"/>
              </w:rPr>
              <w:t>]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2DBD5695" w14:textId="38D995EA" w:rsidR="00983122" w:rsidRPr="002921D2" w:rsidRDefault="00983122" w:rsidP="00FC013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Not In Yengo </w:t>
            </w:r>
            <w:r w:rsidRPr="002921D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et al</w:t>
            </w: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921D2">
              <w:rPr>
                <w:rFonts w:ascii="Times New Roman" w:eastAsia="Calibri" w:hAnsi="Times New Roman" w:cs="Times New Roman"/>
                <w:iCs/>
                <w:noProof/>
                <w:color w:val="000000"/>
                <w:sz w:val="20"/>
                <w:szCs w:val="20"/>
              </w:rPr>
              <w:t>[</w:t>
            </w:r>
            <w:r w:rsidR="00BF526C">
              <w:rPr>
                <w:rFonts w:ascii="Times New Roman" w:eastAsia="Calibri" w:hAnsi="Times New Roman" w:cs="Times New Roman"/>
                <w:iCs/>
                <w:noProof/>
                <w:color w:val="000000"/>
                <w:sz w:val="20"/>
                <w:szCs w:val="20"/>
              </w:rPr>
              <w:t>10</w:t>
            </w:r>
            <w:r w:rsidRPr="002921D2">
              <w:rPr>
                <w:rFonts w:ascii="Times New Roman" w:eastAsia="Calibri" w:hAnsi="Times New Roman" w:cs="Times New Roman"/>
                <w:iCs/>
                <w:noProof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53AF5650" w14:textId="77777777" w:rsidR="00983122" w:rsidRPr="002921D2" w:rsidRDefault="00983122" w:rsidP="00FC013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Marginal totals (rows)</w:t>
            </w:r>
          </w:p>
        </w:tc>
      </w:tr>
      <w:tr w:rsidR="00983122" w:rsidRPr="002921D2" w14:paraId="135F90B8" w14:textId="77777777" w:rsidTr="00FC013D"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75D0E030" w14:textId="03DDD393" w:rsidR="00983122" w:rsidRPr="002921D2" w:rsidRDefault="00983122" w:rsidP="00FC013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In Bouwman </w:t>
            </w:r>
            <w:r w:rsidRPr="002921D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et al</w:t>
            </w: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921D2">
              <w:rPr>
                <w:rFonts w:ascii="Times New Roman" w:eastAsia="Calibri" w:hAnsi="Times New Roman" w:cs="Times New Roman"/>
                <w:iCs/>
                <w:noProof/>
                <w:color w:val="000000"/>
                <w:sz w:val="20"/>
                <w:szCs w:val="20"/>
              </w:rPr>
              <w:t>[1</w:t>
            </w:r>
            <w:r w:rsidR="00BF526C">
              <w:rPr>
                <w:rFonts w:ascii="Times New Roman" w:eastAsia="Calibri" w:hAnsi="Times New Roman" w:cs="Times New Roman"/>
                <w:iCs/>
                <w:noProof/>
                <w:color w:val="000000"/>
                <w:sz w:val="20"/>
                <w:szCs w:val="20"/>
              </w:rPr>
              <w:t>2</w:t>
            </w:r>
            <w:r w:rsidRPr="002921D2">
              <w:rPr>
                <w:rFonts w:ascii="Times New Roman" w:eastAsia="Calibri" w:hAnsi="Times New Roman" w:cs="Times New Roman"/>
                <w:iCs/>
                <w:noProof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69358CD8" w14:textId="77777777" w:rsidR="00983122" w:rsidRPr="002921D2" w:rsidRDefault="00983122" w:rsidP="00FC013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46691A9A" w14:textId="77777777" w:rsidR="00983122" w:rsidRPr="002921D2" w:rsidRDefault="00983122" w:rsidP="00FC013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492E6182" w14:textId="77777777" w:rsidR="00983122" w:rsidRPr="002921D2" w:rsidRDefault="00983122" w:rsidP="00FC013D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77**</w:t>
            </w:r>
          </w:p>
        </w:tc>
      </w:tr>
      <w:tr w:rsidR="00983122" w:rsidRPr="002921D2" w14:paraId="7D77F66C" w14:textId="77777777" w:rsidTr="00FC013D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FAA2D" w14:textId="700A5C55" w:rsidR="00983122" w:rsidRPr="002921D2" w:rsidRDefault="00983122" w:rsidP="00FC013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nl-NL"/>
              </w:rPr>
              <w:t xml:space="preserve">Not In Bouwman </w:t>
            </w:r>
            <w:r w:rsidRPr="002921D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nl-NL"/>
              </w:rPr>
              <w:t>et al</w:t>
            </w: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nl-NL"/>
              </w:rPr>
              <w:t xml:space="preserve">. </w:t>
            </w:r>
            <w:r w:rsidRPr="002921D2">
              <w:rPr>
                <w:rFonts w:ascii="Times New Roman" w:eastAsia="Calibri" w:hAnsi="Times New Roman" w:cs="Times New Roman"/>
                <w:iCs/>
                <w:noProof/>
                <w:color w:val="000000"/>
                <w:sz w:val="20"/>
                <w:szCs w:val="20"/>
              </w:rPr>
              <w:t>[1</w:t>
            </w:r>
            <w:r w:rsidR="00BF526C">
              <w:rPr>
                <w:rFonts w:ascii="Times New Roman" w:eastAsia="Calibri" w:hAnsi="Times New Roman" w:cs="Times New Roman"/>
                <w:iCs/>
                <w:noProof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Pr="002921D2">
              <w:rPr>
                <w:rFonts w:ascii="Times New Roman" w:eastAsia="Calibri" w:hAnsi="Times New Roman" w:cs="Times New Roman"/>
                <w:iCs/>
                <w:noProof/>
                <w:color w:val="000000"/>
                <w:sz w:val="20"/>
                <w:szCs w:val="20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05731" w14:textId="77777777" w:rsidR="00983122" w:rsidRPr="002921D2" w:rsidRDefault="00983122" w:rsidP="00FC013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DBA48" w14:textId="77777777" w:rsidR="00983122" w:rsidRPr="002921D2" w:rsidRDefault="00983122" w:rsidP="00FC013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040EF" w14:textId="77777777" w:rsidR="00983122" w:rsidRPr="002921D2" w:rsidRDefault="00983122" w:rsidP="00FC013D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13,665</w:t>
            </w:r>
          </w:p>
        </w:tc>
      </w:tr>
      <w:tr w:rsidR="00983122" w:rsidRPr="002921D2" w14:paraId="178ACECB" w14:textId="77777777" w:rsidTr="00FC013D">
        <w:tc>
          <w:tcPr>
            <w:tcW w:w="2694" w:type="dxa"/>
            <w:tcBorders>
              <w:left w:val="nil"/>
              <w:right w:val="nil"/>
            </w:tcBorders>
          </w:tcPr>
          <w:p w14:paraId="7E35991F" w14:textId="77777777" w:rsidR="00983122" w:rsidRPr="002921D2" w:rsidRDefault="00983122" w:rsidP="00FC013D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Marginal totals (columns)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69403F42" w14:textId="77777777" w:rsidR="00983122" w:rsidRPr="002921D2" w:rsidRDefault="00983122" w:rsidP="00FC013D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1,553***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60C7B0B3" w14:textId="77777777" w:rsidR="00983122" w:rsidRPr="002921D2" w:rsidRDefault="00983122" w:rsidP="00FC013D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12,189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67D2A82E" w14:textId="77777777" w:rsidR="00983122" w:rsidRPr="002921D2" w:rsidRDefault="00983122" w:rsidP="00FC013D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13,742*</w:t>
            </w:r>
          </w:p>
        </w:tc>
      </w:tr>
    </w:tbl>
    <w:p w14:paraId="432C12AB" w14:textId="77777777" w:rsidR="00983122" w:rsidRPr="002921D2" w:rsidRDefault="00983122" w:rsidP="0098312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AU"/>
        </w:rPr>
      </w:pPr>
      <w:r w:rsidRPr="002921D2">
        <w:rPr>
          <w:rFonts w:ascii="Times New Roman" w:eastAsia="Calibri" w:hAnsi="Times New Roman" w:cs="Times New Roman"/>
          <w:color w:val="000000"/>
          <w:sz w:val="20"/>
          <w:szCs w:val="20"/>
          <w:lang w:val="en-AU"/>
        </w:rPr>
        <w:t xml:space="preserve">*Cattle genes with 1 to 1 orthologs in humans (after QC); **Cattle genes within 10kb of the 164 lead SNPs from Bouwman </w:t>
      </w:r>
      <w:r w:rsidRPr="002921D2">
        <w:rPr>
          <w:rFonts w:ascii="Times New Roman" w:eastAsia="Calibri" w:hAnsi="Times New Roman" w:cs="Times New Roman"/>
          <w:i/>
          <w:color w:val="000000"/>
          <w:sz w:val="20"/>
          <w:szCs w:val="20"/>
          <w:lang w:val="en-AU"/>
        </w:rPr>
        <w:t>et al</w:t>
      </w:r>
      <w:r w:rsidRPr="002921D2">
        <w:rPr>
          <w:rFonts w:ascii="Times New Roman" w:eastAsia="Calibri" w:hAnsi="Times New Roman" w:cs="Times New Roman"/>
          <w:color w:val="000000"/>
          <w:sz w:val="20"/>
          <w:szCs w:val="20"/>
          <w:lang w:val="en-AU"/>
        </w:rPr>
        <w:t xml:space="preserve">. </w:t>
      </w:r>
      <w:r w:rsidRPr="002921D2">
        <w:rPr>
          <w:rFonts w:ascii="Times New Roman" w:eastAsia="Calibri" w:hAnsi="Times New Roman" w:cs="Times New Roman"/>
          <w:iCs/>
          <w:noProof/>
          <w:color w:val="000000"/>
          <w:sz w:val="20"/>
          <w:szCs w:val="20"/>
          <w:lang w:val="en-AU"/>
        </w:rPr>
        <w:t>[1</w:t>
      </w:r>
      <w:r>
        <w:rPr>
          <w:rFonts w:ascii="Times New Roman" w:eastAsia="Calibri" w:hAnsi="Times New Roman" w:cs="Times New Roman"/>
          <w:iCs/>
          <w:noProof/>
          <w:color w:val="000000"/>
          <w:sz w:val="20"/>
          <w:szCs w:val="20"/>
          <w:lang w:val="en-AU"/>
        </w:rPr>
        <w:t>2</w:t>
      </w:r>
      <w:r w:rsidRPr="002921D2">
        <w:rPr>
          <w:rFonts w:ascii="Times New Roman" w:eastAsia="Calibri" w:hAnsi="Times New Roman" w:cs="Times New Roman"/>
          <w:iCs/>
          <w:noProof/>
          <w:color w:val="000000"/>
          <w:sz w:val="20"/>
          <w:szCs w:val="20"/>
          <w:lang w:val="en-AU"/>
        </w:rPr>
        <w:t xml:space="preserve">] </w:t>
      </w:r>
      <w:r w:rsidRPr="002921D2">
        <w:rPr>
          <w:rFonts w:ascii="Times New Roman" w:eastAsia="Calibri" w:hAnsi="Times New Roman" w:cs="Times New Roman"/>
          <w:color w:val="000000"/>
          <w:sz w:val="20"/>
          <w:szCs w:val="20"/>
          <w:lang w:val="en-AU"/>
        </w:rPr>
        <w:t xml:space="preserve">that also have orthologs in humans;   ***Human height genes prioritized as those that overlap with, or are within 10kbp either side of the 3,290 lead SNPs for height in Yengo </w:t>
      </w:r>
      <w:r w:rsidRPr="002921D2">
        <w:rPr>
          <w:rFonts w:ascii="Times New Roman" w:eastAsia="Calibri" w:hAnsi="Times New Roman" w:cs="Times New Roman"/>
          <w:i/>
          <w:color w:val="000000"/>
          <w:sz w:val="20"/>
          <w:szCs w:val="20"/>
          <w:lang w:val="en-AU"/>
        </w:rPr>
        <w:t>et al</w:t>
      </w:r>
      <w:r w:rsidRPr="002921D2">
        <w:rPr>
          <w:rFonts w:ascii="Times New Roman" w:eastAsia="Calibri" w:hAnsi="Times New Roman" w:cs="Times New Roman"/>
          <w:color w:val="000000"/>
          <w:sz w:val="20"/>
          <w:szCs w:val="20"/>
          <w:lang w:val="en-AU"/>
        </w:rPr>
        <w:t xml:space="preserve">. </w:t>
      </w:r>
      <w:r w:rsidRPr="002921D2">
        <w:rPr>
          <w:rFonts w:ascii="Times New Roman" w:eastAsia="Calibri" w:hAnsi="Times New Roman" w:cs="Times New Roman"/>
          <w:iCs/>
          <w:noProof/>
          <w:color w:val="000000"/>
          <w:sz w:val="20"/>
          <w:szCs w:val="20"/>
          <w:lang w:val="en-AU"/>
        </w:rPr>
        <w:t>[</w:t>
      </w:r>
      <w:r>
        <w:rPr>
          <w:rFonts w:ascii="Times New Roman" w:eastAsia="Calibri" w:hAnsi="Times New Roman" w:cs="Times New Roman"/>
          <w:iCs/>
          <w:noProof/>
          <w:color w:val="000000"/>
          <w:sz w:val="20"/>
          <w:szCs w:val="20"/>
          <w:lang w:val="en-AU"/>
        </w:rPr>
        <w:t>10</w:t>
      </w:r>
      <w:r w:rsidRPr="002921D2">
        <w:rPr>
          <w:rFonts w:ascii="Times New Roman" w:eastAsia="Calibri" w:hAnsi="Times New Roman" w:cs="Times New Roman"/>
          <w:iCs/>
          <w:noProof/>
          <w:color w:val="000000"/>
          <w:sz w:val="20"/>
          <w:szCs w:val="20"/>
          <w:lang w:val="en-AU"/>
        </w:rPr>
        <w:t>]</w:t>
      </w:r>
      <w:r w:rsidRPr="002921D2">
        <w:rPr>
          <w:rFonts w:ascii="Times New Roman" w:eastAsia="Calibri" w:hAnsi="Times New Roman" w:cs="Times New Roman"/>
          <w:color w:val="000000"/>
          <w:sz w:val="20"/>
          <w:szCs w:val="20"/>
          <w:lang w:val="en-AU"/>
        </w:rPr>
        <w:t>, that also have orthologs in cattle. The proportion 30/77 is more than can be expected by chance: Fisher’s exact test (odds ratio = 5.1, p-value = 3.1e-10).</w:t>
      </w:r>
    </w:p>
    <w:p w14:paraId="0CD50A8F" w14:textId="77777777" w:rsidR="00983122" w:rsidRPr="002921D2" w:rsidRDefault="00983122" w:rsidP="0098312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AU"/>
        </w:rPr>
      </w:pPr>
    </w:p>
    <w:p w14:paraId="6402BAA8" w14:textId="77777777" w:rsidR="00AF1D82" w:rsidRDefault="00AF1D82"/>
    <w:sectPr w:rsidR="00AF1D82" w:rsidSect="00864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22"/>
    <w:rsid w:val="00864517"/>
    <w:rsid w:val="00983122"/>
    <w:rsid w:val="00AF1D82"/>
    <w:rsid w:val="00BF526C"/>
    <w:rsid w:val="00C36675"/>
    <w:rsid w:val="00D0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0A65"/>
  <w15:chartTrackingRefBased/>
  <w15:docId w15:val="{68FD034A-7D6F-4347-ACFA-A6045387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312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83122"/>
    <w:pPr>
      <w:spacing w:after="0" w:line="240" w:lineRule="auto"/>
    </w:pPr>
    <w:rPr>
      <w:rFonts w:ascii="Calibri" w:hAnsi="Calibri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83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E725E4AA8014C85E94A94AE870549" ma:contentTypeVersion="10" ma:contentTypeDescription="Een nieuw document maken." ma:contentTypeScope="" ma:versionID="401e8dea917b7257415f6451565da435">
  <xsd:schema xmlns:xsd="http://www.w3.org/2001/XMLSchema" xmlns:xs="http://www.w3.org/2001/XMLSchema" xmlns:p="http://schemas.microsoft.com/office/2006/metadata/properties" xmlns:ns3="5321bbcb-b4f4-476e-8f53-768fd8bd6b41" targetNamespace="http://schemas.microsoft.com/office/2006/metadata/properties" ma:root="true" ma:fieldsID="d2fccf9daa171fe3339a12da28c9b620" ns3:_="">
    <xsd:import namespace="5321bbcb-b4f4-476e-8f53-768fd8bd6b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1bbcb-b4f4-476e-8f53-768fd8bd6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1FF477-612B-407C-A273-7A1E905FA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1bbcb-b4f4-476e-8f53-768fd8bd6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3E4F5D-F39C-466B-84BD-370B30B46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D6564-11A8-4BDE-94E2-86B965024919}">
  <ds:schemaRefs>
    <ds:schemaRef ds:uri="http://schemas.microsoft.com/office/2006/metadata/properties"/>
    <ds:schemaRef ds:uri="5321bbcb-b4f4-476e-8f53-768fd8bd6b41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4EC65804.dotm</Template>
  <TotalTime>0</TotalTime>
  <Pages>1</Pages>
  <Words>125</Words>
  <Characters>702</Characters>
  <Application>Microsoft Office Word</Application>
  <DocSecurity>0</DocSecurity>
  <Lines>46</Lines>
  <Paragraphs>15</Paragraphs>
  <ScaleCrop>false</ScaleCrop>
  <Company>Wageningen University and Research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Biaty</dc:creator>
  <cp:keywords/>
  <dc:description/>
  <cp:lastModifiedBy>Raymond, Biaty</cp:lastModifiedBy>
  <cp:revision>2</cp:revision>
  <dcterms:created xsi:type="dcterms:W3CDTF">2020-08-10T09:54:00Z</dcterms:created>
  <dcterms:modified xsi:type="dcterms:W3CDTF">2020-08-10T09:55:00Z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0x01010071FE725E4AA8014C85E94A94AE870549</vt:lpwstr>
  </property>
</Properties>
</file>