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17A5" w14:textId="77777777" w:rsidR="002F61EC" w:rsidRDefault="002F61EC" w:rsidP="002F61EC">
      <w:pPr>
        <w:pStyle w:val="NormalWeb"/>
        <w:spacing w:before="0" w:beforeAutospacing="0" w:after="0" w:afterAutospacing="0"/>
        <w:contextualSpacing/>
      </w:pPr>
      <w:r w:rsidRPr="004134F7">
        <w:rPr>
          <w:b/>
        </w:rPr>
        <w:t>S</w:t>
      </w:r>
      <w:r>
        <w:rPr>
          <w:b/>
        </w:rPr>
        <w:t>6</w:t>
      </w:r>
      <w:r w:rsidRPr="004134F7">
        <w:rPr>
          <w:b/>
        </w:rPr>
        <w:t xml:space="preserve"> Table: Overview and illustration of the cases under the composite null hypothesis that there is no colocalization.</w:t>
      </w:r>
      <w:r w:rsidRPr="004134F7">
        <w:t xml:space="preserve">  Plots (a)-(d) provide the general visualization of GWAS (red line) and </w:t>
      </w:r>
      <w:proofErr w:type="spellStart"/>
      <w:r w:rsidRPr="004134F7">
        <w:t>eQTL</w:t>
      </w:r>
      <w:proofErr w:type="spellEnd"/>
      <w:r w:rsidRPr="004134F7">
        <w:t xml:space="preserve"> (blue) patterns (on the -log10 p scale) in a region of interest (e.g. the </w:t>
      </w:r>
      <w:r w:rsidRPr="004134F7">
        <w:rPr>
          <w:i/>
        </w:rPr>
        <w:t>SLC6A14</w:t>
      </w:r>
      <w:r w:rsidRPr="004134F7">
        <w:t xml:space="preserve"> locus).   The value of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λ</m:t>
            </m:r>
            <m:ctrlPr>
              <w:rPr>
                <w:rFonts w:ascii="Cambria Math" w:hAnsi="Cambria Math"/>
                <w:color w:val="000000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c</m:t>
                </m:r>
              </m:sub>
            </m:sSub>
            <m:r>
              <w:rPr>
                <w:rFonts w:ascii="Cambria Math" w:hAnsi="Cambria Math"/>
                <w:color w:val="000000"/>
              </w:rPr>
              <m:t xml:space="preserve"> </m:t>
            </m:r>
          </m:sub>
        </m:sSub>
      </m:oMath>
      <w:r w:rsidRPr="004134F7">
        <w:t xml:space="preserve">represents the standardized true effect size of </w:t>
      </w:r>
      <w:r>
        <w:t xml:space="preserve">a </w:t>
      </w:r>
      <w:r w:rsidRPr="004134F7">
        <w:t xml:space="preserve">GWAS associated variant,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λ</m:t>
            </m:r>
            <m:ctrlPr>
              <w:rPr>
                <w:rFonts w:ascii="Cambria Math" w:hAnsi="Cambria Math"/>
                <w:color w:val="000000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c</m:t>
                </m:r>
              </m:sub>
            </m:sSub>
            <m:r>
              <w:rPr>
                <w:rFonts w:ascii="Cambria Math" w:hAnsi="Cambria Math"/>
                <w:color w:val="000000"/>
              </w:rPr>
              <m:t xml:space="preserve"> </m:t>
            </m:r>
          </m:sub>
        </m:sSub>
      </m:oMath>
      <w:r w:rsidRPr="004134F7">
        <w:rPr>
          <w:color w:val="000000"/>
          <w:lang w:val="en-US"/>
        </w:rPr>
        <w:t xml:space="preserve">represents the true standardized effect size of an eQTL variant.  The corresponding power of detecting the GWAS SNP or finding the </w:t>
      </w:r>
      <w:proofErr w:type="spellStart"/>
      <w:r w:rsidRPr="004134F7">
        <w:rPr>
          <w:color w:val="000000"/>
          <w:lang w:val="en-US"/>
        </w:rPr>
        <w:t>eQTL</w:t>
      </w:r>
      <w:proofErr w:type="spellEnd"/>
      <w:r w:rsidRPr="004134F7">
        <w:rPr>
          <w:color w:val="000000"/>
          <w:lang w:val="en-US"/>
        </w:rPr>
        <w:t xml:space="preserve"> are provided in S</w:t>
      </w:r>
      <w:r>
        <w:rPr>
          <w:color w:val="000000"/>
          <w:lang w:val="en-US"/>
        </w:rPr>
        <w:t>5</w:t>
      </w:r>
      <w:r w:rsidRPr="004134F7">
        <w:rPr>
          <w:color w:val="000000"/>
          <w:lang w:val="en-US"/>
        </w:rPr>
        <w:t xml:space="preserve"> Table.  For illustration purpose</w:t>
      </w:r>
      <w:r>
        <w:rPr>
          <w:color w:val="000000"/>
          <w:lang w:val="en-US"/>
        </w:rPr>
        <w:t>s</w:t>
      </w:r>
      <w:r w:rsidRPr="004134F7">
        <w:rPr>
          <w:color w:val="000000"/>
          <w:lang w:val="en-US"/>
        </w:rPr>
        <w:t xml:space="preserve"> but without loss generality, </w:t>
      </w:r>
      <w:proofErr w:type="spellStart"/>
      <w:r w:rsidRPr="004134F7">
        <w:rPr>
          <w:color w:val="000000"/>
          <w:lang w:val="en-US"/>
        </w:rPr>
        <w:t>i</w:t>
      </w:r>
      <w:proofErr w:type="spellEnd"/>
      <w:r w:rsidRPr="004134F7">
        <w:t xml:space="preserve">f there was a GWAS association,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λ</m:t>
            </m:r>
            <m:ctrlPr>
              <w:rPr>
                <w:rFonts w:ascii="Cambria Math" w:hAnsi="Cambria Math"/>
                <w:color w:val="000000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c</m:t>
                </m:r>
              </m:sub>
            </m:sSub>
            <m:r>
              <w:rPr>
                <w:rFonts w:ascii="Cambria Math" w:hAnsi="Cambria Math"/>
                <w:color w:val="000000"/>
              </w:rPr>
              <m:t xml:space="preserve"> </m:t>
            </m:r>
          </m:sub>
        </m:sSub>
      </m:oMath>
      <w:r w:rsidRPr="004134F7">
        <w:rPr>
          <w:color w:val="000000"/>
          <w:lang w:val="en-US"/>
        </w:rPr>
        <w:t>was set to be 5.73 such that 0.5 power could be achieved to detect the signal.  If there was an eQTL from the gene-exp</w:t>
      </w:r>
      <w:proofErr w:type="spellStart"/>
      <w:r w:rsidRPr="004134F7">
        <w:rPr>
          <w:color w:val="000000"/>
          <w:lang w:val="en-US"/>
        </w:rPr>
        <w:t>ression</w:t>
      </w:r>
      <w:proofErr w:type="spellEnd"/>
      <w:r w:rsidRPr="004134F7">
        <w:rPr>
          <w:color w:val="000000"/>
          <w:lang w:val="en-US"/>
        </w:rPr>
        <w:t xml:space="preserve"> study,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l-G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λ</m:t>
            </m:r>
            <m:ctrlPr>
              <w:rPr>
                <w:rFonts w:ascii="Cambria Math" w:hAnsi="Cambria Math"/>
                <w:color w:val="000000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c</m:t>
                </m:r>
              </m:sub>
            </m:sSub>
            <m:r>
              <w:rPr>
                <w:rFonts w:ascii="Cambria Math" w:hAnsi="Cambria Math"/>
                <w:color w:val="000000"/>
              </w:rPr>
              <m:t xml:space="preserve"> </m:t>
            </m:r>
          </m:sub>
        </m:sSub>
      </m:oMath>
      <w:r w:rsidRPr="004134F7">
        <w:rPr>
          <w:color w:val="000000"/>
          <w:lang w:val="en-US"/>
        </w:rPr>
        <w:t xml:space="preserve">was set to be 7.01 such that 0.9 power could be achieved to detect the signal.  </w:t>
      </w:r>
      <w:r w:rsidRPr="004134F7">
        <w:rPr>
          <w:color w:val="000000"/>
        </w:rPr>
        <w:t xml:space="preserve">See </w:t>
      </w:r>
      <w:r w:rsidRPr="004134F7">
        <w:t xml:space="preserve">S1 Appendix for other simulation details. </w:t>
      </w:r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4503"/>
        <w:gridCol w:w="2126"/>
        <w:gridCol w:w="2438"/>
      </w:tblGrid>
      <w:tr w:rsidR="002F61EC" w:rsidRPr="00694C08" w14:paraId="0D7AC042" w14:textId="77777777" w:rsidTr="007005EF">
        <w:trPr>
          <w:trHeight w:val="285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</w:tcPr>
          <w:p w14:paraId="4638F2C0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Null </w:t>
            </w: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>Case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 Considered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14:paraId="11C5997A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 xml:space="preserve">Parameter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values (signal strength)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649D9C1C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Illustration             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red: GWAS, blue: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eQTL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F61EC" w:rsidRPr="00694C08" w14:paraId="12CB0188" w14:textId="77777777" w:rsidTr="007005EF">
        <w:trPr>
          <w:trHeight w:val="1041"/>
        </w:trPr>
        <w:tc>
          <w:tcPr>
            <w:tcW w:w="450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2E4E89" w14:textId="77777777" w:rsidR="002F61EC" w:rsidRPr="009013CE" w:rsidRDefault="002F61EC" w:rsidP="007005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Case 1: </w:t>
            </w:r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</w:t>
            </w:r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GWAS </w:t>
            </w:r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association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and NO </w:t>
            </w:r>
            <w:proofErr w:type="spellStart"/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eQTL</w:t>
            </w:r>
            <w:proofErr w:type="spellEnd"/>
          </w:p>
          <w:p w14:paraId="4087BE34" w14:textId="77777777" w:rsidR="002F61EC" w:rsidRPr="009013CE" w:rsidRDefault="002F61EC" w:rsidP="007005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A1F7" w14:textId="77777777" w:rsidR="002F61EC" w:rsidRPr="009013CE" w:rsidRDefault="002F61EC" w:rsidP="007005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</m:oMath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= 0,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1"/>
                  <w:szCs w:val="21"/>
                  <w:lang w:val="el-GR"/>
                </w:rPr>
                <m:t>=0</m:t>
              </m:r>
            </m:oMath>
          </w:p>
        </w:tc>
        <w:tc>
          <w:tcPr>
            <w:tcW w:w="243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8A48BD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>(a)</w:t>
            </w:r>
          </w:p>
          <w:p w14:paraId="6815437D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571B929C" wp14:editId="57D44901">
                  <wp:extent cx="1127760" cy="871484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ype1_1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60" cy="87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1EC" w:rsidRPr="00694C08" w14:paraId="29DD465D" w14:textId="77777777" w:rsidTr="007005EF">
        <w:trPr>
          <w:trHeight w:val="890"/>
        </w:trPr>
        <w:tc>
          <w:tcPr>
            <w:tcW w:w="4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068032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Case 2: NO GWAS association, and YES</w:t>
            </w:r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eQTL</w:t>
            </w:r>
            <w:proofErr w:type="spellEnd"/>
          </w:p>
          <w:p w14:paraId="4170C413" w14:textId="77777777" w:rsidR="002F61EC" w:rsidRPr="009013CE" w:rsidRDefault="002F61EC" w:rsidP="007005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D270" w14:textId="77777777" w:rsidR="002F61EC" w:rsidRPr="009013CE" w:rsidRDefault="002F61EC" w:rsidP="007005EF">
            <w:pPr>
              <w:rPr>
                <w:rFonts w:ascii="Times New Roman" w:hAnsi="Times New Roman"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</m:oMath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= 0,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1"/>
                  <w:szCs w:val="21"/>
                  <w:lang w:val="el-GR"/>
                </w:rPr>
                <m:t>=</m:t>
              </m:r>
            </m:oMath>
            <w:r w:rsidRPr="009013CE">
              <w:rPr>
                <w:rFonts w:ascii="Times New Roman" w:hAnsi="Times New Roman" w:cs="Times New Roman"/>
                <w:sz w:val="21"/>
                <w:szCs w:val="21"/>
              </w:rPr>
              <w:t>7.01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7BDBBF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softHyphen/>
            </w: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softHyphen/>
            </w: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softHyphen/>
            </w: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softHyphen/>
            </w: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softHyphen/>
            </w: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softHyphen/>
            </w: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softHyphen/>
              <w:t>(b)</w:t>
            </w:r>
          </w:p>
          <w:p w14:paraId="6DA9E5AE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06019F82" wp14:editId="0750E02C">
                  <wp:extent cx="1200785" cy="856717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ype1_2.pd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85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1EC" w:rsidRPr="00694C08" w14:paraId="55989D85" w14:textId="77777777" w:rsidTr="007005EF">
        <w:trPr>
          <w:trHeight w:val="875"/>
        </w:trPr>
        <w:tc>
          <w:tcPr>
            <w:tcW w:w="4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E124E5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Case 3: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GWAS a</w:t>
            </w:r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ssociation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and NO</w:t>
            </w:r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eQTL</w:t>
            </w:r>
            <w:proofErr w:type="spellEnd"/>
          </w:p>
          <w:p w14:paraId="60512720" w14:textId="77777777" w:rsidR="002F61EC" w:rsidRPr="009013CE" w:rsidRDefault="002F61EC" w:rsidP="007005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F0D6" w14:textId="77777777" w:rsidR="002F61EC" w:rsidRPr="009013CE" w:rsidRDefault="002F61EC" w:rsidP="007005EF">
            <w:pPr>
              <w:rPr>
                <w:rFonts w:ascii="Times New Roman" w:hAnsi="Times New Roman"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</m:oMath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>5.73,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1"/>
                  <w:szCs w:val="21"/>
                  <w:lang w:val="el-GR"/>
                </w:rPr>
                <m:t>=0</m:t>
              </m:r>
            </m:oMath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1FF09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>(c)</w:t>
            </w:r>
          </w:p>
          <w:p w14:paraId="6881C612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44B4B653" wp14:editId="63C36CC9">
                  <wp:extent cx="1210190" cy="935182"/>
                  <wp:effectExtent l="0" t="0" r="5715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ype1_3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90" cy="93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1EC" w:rsidRPr="00694C08" w14:paraId="488ED429" w14:textId="77777777" w:rsidTr="007005EF">
        <w:trPr>
          <w:trHeight w:val="1726"/>
        </w:trPr>
        <w:tc>
          <w:tcPr>
            <w:tcW w:w="45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DFD041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Case 4: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GWAS association, and YES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eQTL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but signal occurring at two independent SNPs </w:t>
            </w:r>
          </w:p>
          <w:p w14:paraId="57453EC1" w14:textId="77777777" w:rsidR="002F61EC" w:rsidRPr="009013CE" w:rsidRDefault="002F61EC" w:rsidP="007005E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855698" w14:textId="77777777" w:rsidR="002F61EC" w:rsidRPr="009013CE" w:rsidRDefault="002F61EC" w:rsidP="007005EF">
            <w:pPr>
              <w:rPr>
                <w:rFonts w:ascii="Times New Roman" w:hAnsi="Times New Roman" w:cs="Times New Roman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</m:oMath>
            <w:r w:rsidRPr="009013C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=</w:t>
            </w: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 xml:space="preserve">5.73,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1"/>
                      <w:szCs w:val="21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>λ</m:t>
                  </m:r>
                  <m:ctrlP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1"/>
                          <w:szCs w:val="21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1"/>
                      <w:szCs w:val="21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1"/>
                  <w:szCs w:val="21"/>
                  <w:lang w:val="el-GR"/>
                </w:rPr>
                <m:t>=7.01</m:t>
              </m:r>
            </m:oMath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57CEF4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sz w:val="21"/>
                <w:szCs w:val="21"/>
              </w:rPr>
              <w:t>(d)</w:t>
            </w:r>
          </w:p>
          <w:p w14:paraId="07AB0FEE" w14:textId="77777777" w:rsidR="002F61EC" w:rsidRPr="009013CE" w:rsidRDefault="002F61EC" w:rsidP="007005EF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sz w:val="21"/>
                <w:szCs w:val="21"/>
              </w:rPr>
            </w:pPr>
            <w:r w:rsidRPr="009013CE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5B3144AB" wp14:editId="0C24324F">
                  <wp:extent cx="1227455" cy="869300"/>
                  <wp:effectExtent l="0" t="0" r="571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ype1_4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86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DF34D" w14:textId="77777777" w:rsidR="002F61EC" w:rsidRDefault="002F61EC" w:rsidP="002F61EC">
      <w:pPr>
        <w:pStyle w:val="NormalWeb"/>
      </w:pPr>
    </w:p>
    <w:p w14:paraId="62B9D712" w14:textId="77777777" w:rsidR="002F61EC" w:rsidRDefault="002F61EC">
      <w:bookmarkStart w:id="0" w:name="_GoBack"/>
      <w:bookmarkEnd w:id="0"/>
    </w:p>
    <w:sectPr w:rsidR="002F6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EC"/>
    <w:rsid w:val="002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866D"/>
  <w15:chartTrackingRefBased/>
  <w15:docId w15:val="{6C91AFB9-3474-4A5B-9DEB-8B1C4C77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1EC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F61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zh-CN"/>
    </w:rPr>
  </w:style>
  <w:style w:type="character" w:customStyle="1" w:styleId="NormalWebChar">
    <w:name w:val="Normal (Web) Char"/>
    <w:basedOn w:val="DefaultParagraphFont"/>
    <w:link w:val="NormalWeb"/>
    <w:uiPriority w:val="99"/>
    <w:rsid w:val="002F61E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2F61E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Jiafen Gong</dc:creator>
  <cp:keywords/>
  <dc:description/>
  <cp:lastModifiedBy>Jiafen Gong</cp:lastModifiedBy>
  <cp:revision>1</cp:revision>
  <dcterms:created xsi:type="dcterms:W3CDTF">2019-02-12T22:46:00Z</dcterms:created>
  <dcterms:modified xsi:type="dcterms:W3CDTF">2019-02-12T22:47:00Z</dcterms:modified>
</cp:coreProperties>
</file>