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ED" w:rsidRPr="00437E73" w:rsidRDefault="00B84CED" w:rsidP="00B84CED">
      <w:pPr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tbl>
      <w:tblPr>
        <w:tblW w:w="12163" w:type="dxa"/>
        <w:tblInd w:w="-1337" w:type="dxa"/>
        <w:tblLook w:val="04A0" w:firstRow="1" w:lastRow="0" w:firstColumn="1" w:lastColumn="0" w:noHBand="0" w:noVBand="1"/>
      </w:tblPr>
      <w:tblGrid>
        <w:gridCol w:w="11930"/>
        <w:gridCol w:w="233"/>
      </w:tblGrid>
      <w:tr w:rsidR="00B84CED" w:rsidRPr="00437E73" w:rsidTr="00202F3B">
        <w:trPr>
          <w:trHeight w:val="360"/>
        </w:trPr>
        <w:tc>
          <w:tcPr>
            <w:tcW w:w="11930" w:type="dxa"/>
            <w:noWrap/>
            <w:vAlign w:val="bottom"/>
            <w:hideMark/>
          </w:tcPr>
          <w:p w:rsidR="00B84CED" w:rsidRPr="00437E73" w:rsidRDefault="00B84CED" w:rsidP="00202F3B">
            <w:pPr>
              <w:ind w:firstLineChars="300" w:firstLine="723"/>
              <w:rPr>
                <w:rFonts w:ascii="Times New Roman" w:eastAsiaTheme="minorEastAsia" w:hAnsi="Times New Roman" w:cs="Times New Roman"/>
              </w:rPr>
            </w:pPr>
            <w:r w:rsidRPr="00437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S1 Table. </w:t>
            </w:r>
            <w:r w:rsidRPr="00437E73">
              <w:rPr>
                <w:rFonts w:ascii="Times New Roman" w:hAnsi="Times New Roman" w:cs="Times New Roman"/>
                <w:sz w:val="24"/>
                <w:szCs w:val="24"/>
              </w:rPr>
              <w:t xml:space="preserve">List of genes in </w:t>
            </w:r>
            <w:r w:rsidRPr="00437E7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the 100-kb candidate region between genetic markers GM635 and GM645</w:t>
            </w:r>
            <w:r w:rsidRPr="00437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B84CED" w:rsidRPr="00437E73" w:rsidRDefault="00B84CED" w:rsidP="00202F3B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B84CED" w:rsidRPr="00437E73" w:rsidTr="00202F3B">
        <w:trPr>
          <w:trHeight w:val="360"/>
        </w:trPr>
        <w:tc>
          <w:tcPr>
            <w:tcW w:w="11930" w:type="dxa"/>
            <w:noWrap/>
            <w:vAlign w:val="bottom"/>
            <w:hideMark/>
          </w:tcPr>
          <w:tbl>
            <w:tblPr>
              <w:tblW w:w="9060" w:type="dxa"/>
              <w:tblInd w:w="1326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7600"/>
            </w:tblGrid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</w:rPr>
                    <w:t>Gene</w:t>
                  </w:r>
                </w:p>
              </w:tc>
              <w:tc>
                <w:tcPr>
                  <w:tcW w:w="7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</w:rPr>
                    <w:t>Annotation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AT4G10190</w:t>
                  </w:r>
                </w:p>
              </w:tc>
              <w:tc>
                <w:tcPr>
                  <w:tcW w:w="7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F-box and associated interaction domains-containing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AT4G10200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1EFEC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 xml:space="preserve">TTF-type zinc finger protein with HAT </w:t>
                  </w:r>
                  <w:proofErr w:type="spellStart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dimerisation</w:t>
                  </w:r>
                  <w:proofErr w:type="spellEnd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 xml:space="preserve"> domain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AT4G10201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Pseudogene of AT3G21130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AT4G10210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1EFEC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Protein of Unknown Function (DUF239)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AT4G10220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1EFEC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Protein of Unknown Function (DUF239)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AT4G10230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1EFEC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Unknown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AT4G10240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B-BOX DOMAIN PROTEIN 23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AT4G10250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1EFEC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Columbia endomembrane-localized small heat shock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AT4G10260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proofErr w:type="spellStart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pfkB</w:t>
                  </w:r>
                  <w:proofErr w:type="spellEnd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-like carbohydrate kinase family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AT4G10265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1EFEC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Wound-responsive family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AT4G10270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Wound-responsive family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AT4G10280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1EFEC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proofErr w:type="spellStart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RmlC</w:t>
                  </w:r>
                  <w:proofErr w:type="spellEnd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 xml:space="preserve">-like </w:t>
                  </w:r>
                  <w:proofErr w:type="spellStart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cupins</w:t>
                  </w:r>
                  <w:proofErr w:type="spellEnd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 xml:space="preserve"> superfamily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AT4G10290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proofErr w:type="spellStart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RmlC</w:t>
                  </w:r>
                  <w:proofErr w:type="spellEnd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 xml:space="preserve">-like </w:t>
                  </w:r>
                  <w:proofErr w:type="spellStart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cupins</w:t>
                  </w:r>
                  <w:proofErr w:type="spellEnd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 xml:space="preserve"> superfamily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AT4G10300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1EFEC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proofErr w:type="spellStart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RmlC</w:t>
                  </w:r>
                  <w:proofErr w:type="spellEnd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 xml:space="preserve">-like </w:t>
                  </w:r>
                  <w:proofErr w:type="spellStart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cupins</w:t>
                  </w:r>
                  <w:proofErr w:type="spellEnd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 xml:space="preserve"> superfamily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AT4G10310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A sodium transporter (HKT1) expressed in xylem parenchyma cells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AT4G10320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1EFEC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proofErr w:type="spellStart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tRNA</w:t>
                  </w:r>
                  <w:proofErr w:type="spellEnd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 xml:space="preserve"> </w:t>
                  </w:r>
                  <w:proofErr w:type="spellStart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synthetase</w:t>
                  </w:r>
                  <w:proofErr w:type="spellEnd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 xml:space="preserve"> class I (I, L, M and V) family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AT4G10330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Glycine-rich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AT4G10340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1EFEC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Photosystem II encoding the light-harvesting chlorophyll a/b binding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AT4G10345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Encodes a microRNA of unknown function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AT4G10350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1EFEC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Encode a transcription factor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AT4G10360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TRAM, LAG1 and CLN8 (TLC) lipid-sensing domain containing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AT4G10370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1EFEC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Cysteine/Histidine-rich C1 domain family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AT4G10380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 xml:space="preserve"> NOD26-LIKE INTRINSIC PROTEIN 5</w:t>
                  </w:r>
                  <w:proofErr w:type="gramStart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;1</w:t>
                  </w:r>
                  <w:proofErr w:type="gramEnd"/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, Boric acid channel.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AT4G10390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1EFEC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Protein kinase superfamily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AT4G10400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F-box/RNI-like/FBD-like domains-containing protein</w:t>
                  </w:r>
                </w:p>
              </w:tc>
            </w:tr>
            <w:tr w:rsidR="00B84CED" w:rsidRPr="00437E73" w:rsidTr="00202F3B">
              <w:trPr>
                <w:trHeight w:val="390"/>
              </w:trPr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kern w:val="0"/>
                    </w:rPr>
                    <w:t>AT4G10410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1EFEC"/>
                  <w:hideMark/>
                </w:tcPr>
                <w:p w:rsidR="00B84CED" w:rsidRPr="00437E73" w:rsidRDefault="00B84CED" w:rsidP="00202F3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</w:pPr>
                  <w:r w:rsidRPr="00437E73">
                    <w:rPr>
                      <w:rFonts w:ascii="Times New Roman" w:eastAsia="宋体" w:hAnsi="Times New Roman" w:cs="Times New Roman"/>
                      <w:color w:val="444444"/>
                      <w:kern w:val="0"/>
                    </w:rPr>
                    <w:t>Leucine-rich repeat (LRR) family protein</w:t>
                  </w:r>
                </w:p>
              </w:tc>
            </w:tr>
          </w:tbl>
          <w:p w:rsidR="00B84CED" w:rsidRPr="00437E73" w:rsidRDefault="00B84CED" w:rsidP="00202F3B">
            <w:pPr>
              <w:widowControl/>
              <w:jc w:val="left"/>
              <w:rPr>
                <w:rFonts w:ascii="Times New Roman" w:eastAsia="宋体" w:hAnsi="Times New Roman" w:cs="Times New Roman"/>
                <w:color w:val="auto"/>
                <w:kern w:val="0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B84CED" w:rsidRPr="00437E73" w:rsidRDefault="00B84CED" w:rsidP="00202F3B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B84CED" w:rsidRPr="00437E73" w:rsidTr="00202F3B">
        <w:trPr>
          <w:trHeight w:val="360"/>
        </w:trPr>
        <w:tc>
          <w:tcPr>
            <w:tcW w:w="11930" w:type="dxa"/>
            <w:noWrap/>
            <w:vAlign w:val="bottom"/>
          </w:tcPr>
          <w:p w:rsidR="00B84CED" w:rsidRPr="00437E73" w:rsidRDefault="00B84CED" w:rsidP="00202F3B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B84CED" w:rsidRPr="00437E73" w:rsidRDefault="00B84CED" w:rsidP="00202F3B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:rsidR="00F36DD1" w:rsidRPr="00B84CED" w:rsidRDefault="00F36DD1"/>
    <w:sectPr w:rsidR="00F36DD1" w:rsidRPr="00B8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ED"/>
    <w:rsid w:val="00B84CED"/>
    <w:rsid w:val="00F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ED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ED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2017-08-03T09:32:00Z</dcterms:created>
  <dcterms:modified xsi:type="dcterms:W3CDTF">2017-08-03T09:33:00Z</dcterms:modified>
</cp:coreProperties>
</file>