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F0B" w:rsidRDefault="000C0F0B" w:rsidP="000C0F0B">
      <w:pPr>
        <w:spacing w:line="360" w:lineRule="auto"/>
      </w:pPr>
      <w:r w:rsidRPr="00EC1ADE">
        <w:rPr>
          <w:b/>
        </w:rPr>
        <w:t>Fig. S2</w:t>
      </w:r>
      <w:r>
        <w:tab/>
      </w:r>
      <w:r>
        <w:tab/>
        <w:t xml:space="preserve">Maps of the </w:t>
      </w:r>
      <w:r w:rsidRPr="005D0C99">
        <w:rPr>
          <w:i/>
        </w:rPr>
        <w:t>ori</w:t>
      </w:r>
      <w:r>
        <w:t xml:space="preserve">c2, -c3 and - p1 regions, designed as in Fig. S1. </w:t>
      </w: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20007</wp:posOffset>
            </wp:positionH>
            <wp:positionV relativeFrom="paragraph">
              <wp:posOffset>-6208</wp:posOffset>
            </wp:positionV>
            <wp:extent cx="5013164" cy="7124132"/>
            <wp:effectExtent l="19050" t="0" r="0" b="0"/>
            <wp:wrapTight wrapText="bothSides">
              <wp:wrapPolygon edited="0">
                <wp:start x="-82" y="0"/>
                <wp:lineTo x="-82" y="21544"/>
                <wp:lineTo x="21587" y="21544"/>
                <wp:lineTo x="21587" y="0"/>
                <wp:lineTo x="-82" y="0"/>
              </wp:wrapPolygon>
            </wp:wrapTight>
            <wp:docPr id="3" name="Image 2" descr="figS2 [Converti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S2 [Converti].tif"/>
                    <pic:cNvPicPr/>
                  </pic:nvPicPr>
                  <pic:blipFill>
                    <a:blip r:embed="rId4" cstate="print"/>
                    <a:srcRect l="5601" t="3850" r="7353" b="8768"/>
                    <a:stretch>
                      <a:fillRect/>
                    </a:stretch>
                  </pic:blipFill>
                  <pic:spPr>
                    <a:xfrm>
                      <a:off x="0" y="0"/>
                      <a:ext cx="5013164" cy="7124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</w:p>
    <w:p w:rsidR="000C0F0B" w:rsidRDefault="000C0F0B" w:rsidP="000C0F0B">
      <w:pPr>
        <w:spacing w:line="360" w:lineRule="auto"/>
      </w:pPr>
      <w:r>
        <w:t xml:space="preserve">Blue triangles on both to-scale and expanded maps are 7mers like those in c1. Red triangles are </w:t>
      </w:r>
      <w:proofErr w:type="spellStart"/>
      <w:r>
        <w:t>iterons</w:t>
      </w:r>
      <w:proofErr w:type="spellEnd"/>
      <w:r>
        <w:t xml:space="preserve"> of consensus sequence (bold, 100% conserved; capital, ≥ 90%, small, &lt; 90%): </w:t>
      </w:r>
    </w:p>
    <w:p w:rsidR="000C0F0B" w:rsidRDefault="000C0F0B" w:rsidP="000C0F0B">
      <w:pPr>
        <w:spacing w:line="360" w:lineRule="auto"/>
        <w:rPr>
          <w:lang w:val="en-US"/>
        </w:rPr>
      </w:pPr>
      <w:r>
        <w:t xml:space="preserve">c2 – </w:t>
      </w:r>
      <w:proofErr w:type="spellStart"/>
      <w:r w:rsidRPr="00EC1ADE">
        <w:t>ct</w:t>
      </w:r>
      <w:r w:rsidRPr="00EC1ADE">
        <w:rPr>
          <w:b/>
        </w:rPr>
        <w:t>CC</w:t>
      </w:r>
      <w:r w:rsidRPr="00EC1ADE">
        <w:t>C</w:t>
      </w:r>
      <w:r w:rsidRPr="00EC1ADE">
        <w:rPr>
          <w:b/>
        </w:rPr>
        <w:t>G</w:t>
      </w:r>
      <w:r w:rsidRPr="00EC1ADE">
        <w:t>AA</w:t>
      </w:r>
      <w:r w:rsidRPr="00EC1ADE">
        <w:rPr>
          <w:b/>
        </w:rPr>
        <w:t>AA</w:t>
      </w:r>
      <w:r w:rsidRPr="00EC1ADE">
        <w:t>ac</w:t>
      </w:r>
      <w:r w:rsidRPr="00EC1ADE">
        <w:rPr>
          <w:b/>
        </w:rPr>
        <w:t>CTCACC</w:t>
      </w:r>
      <w:r w:rsidRPr="00EC1ADE">
        <w:t>Ttt</w:t>
      </w:r>
      <w:proofErr w:type="spellEnd"/>
      <w:r>
        <w:t xml:space="preserve">, c3 – </w:t>
      </w:r>
      <w:proofErr w:type="spellStart"/>
      <w:r w:rsidRPr="00EC1ADE">
        <w:rPr>
          <w:lang w:val="en-US"/>
        </w:rPr>
        <w:t>t</w:t>
      </w:r>
      <w:r w:rsidRPr="00EC1ADE">
        <w:rPr>
          <w:b/>
          <w:lang w:val="en-US"/>
        </w:rPr>
        <w:t>CCCATA</w:t>
      </w:r>
      <w:r w:rsidRPr="00EC1ADE">
        <w:rPr>
          <w:lang w:val="en-US"/>
        </w:rPr>
        <w:t>AacggntA</w:t>
      </w:r>
      <w:r w:rsidRPr="00EC1ADE">
        <w:rPr>
          <w:b/>
          <w:lang w:val="en-US"/>
        </w:rPr>
        <w:t>C</w:t>
      </w:r>
      <w:r w:rsidRPr="00EC1ADE">
        <w:rPr>
          <w:lang w:val="en-US"/>
        </w:rPr>
        <w:t>Ctnt</w:t>
      </w:r>
      <w:proofErr w:type="spellEnd"/>
      <w:r>
        <w:rPr>
          <w:lang w:val="en-US"/>
        </w:rPr>
        <w:t xml:space="preserve">, </w:t>
      </w:r>
    </w:p>
    <w:p w:rsidR="000C0F0B" w:rsidRDefault="000C0F0B" w:rsidP="000C0F0B">
      <w:pPr>
        <w:spacing w:line="360" w:lineRule="auto"/>
        <w:rPr>
          <w:lang w:val="en-NZ"/>
        </w:rPr>
      </w:pPr>
      <w:r>
        <w:rPr>
          <w:lang w:val="en-US"/>
        </w:rPr>
        <w:t xml:space="preserve">p1 – </w:t>
      </w:r>
      <w:proofErr w:type="spellStart"/>
      <w:r w:rsidRPr="00EC1ADE">
        <w:rPr>
          <w:lang w:val="en-NZ"/>
        </w:rPr>
        <w:t>tgT</w:t>
      </w:r>
      <w:r w:rsidRPr="00EC1ADE">
        <w:rPr>
          <w:b/>
          <w:lang w:val="en-NZ"/>
        </w:rPr>
        <w:t>CGT</w:t>
      </w:r>
      <w:r w:rsidRPr="00EC1ADE">
        <w:rPr>
          <w:lang w:val="en-NZ"/>
        </w:rPr>
        <w:t>tCY</w:t>
      </w:r>
      <w:r w:rsidRPr="00EC1ADE">
        <w:rPr>
          <w:b/>
          <w:lang w:val="en-NZ"/>
        </w:rPr>
        <w:t>TCCAGCG</w:t>
      </w:r>
      <w:r w:rsidRPr="00EC1ADE">
        <w:rPr>
          <w:lang w:val="en-NZ"/>
        </w:rPr>
        <w:t>Atg</w:t>
      </w:r>
      <w:proofErr w:type="spellEnd"/>
    </w:p>
    <w:p w:rsidR="000C0F0B" w:rsidRDefault="000C0F0B" w:rsidP="000C0F0B">
      <w:pPr>
        <w:spacing w:line="360" w:lineRule="auto"/>
        <w:rPr>
          <w:lang w:val="en-NZ"/>
        </w:rPr>
      </w:pPr>
      <w:r>
        <w:rPr>
          <w:lang w:val="en-NZ"/>
        </w:rPr>
        <w:lastRenderedPageBreak/>
        <w:t>See Table S1 for details.</w:t>
      </w:r>
    </w:p>
    <w:p w:rsidR="000C0F0B" w:rsidRDefault="000C0F0B" w:rsidP="000C0F0B">
      <w:pPr>
        <w:spacing w:line="360" w:lineRule="auto"/>
      </w:pPr>
      <w:r>
        <w:rPr>
          <w:lang w:val="en-NZ"/>
        </w:rPr>
        <w:t xml:space="preserve">GC min* denotes the minimum  disparity predicted by </w:t>
      </w:r>
      <w:proofErr w:type="spellStart"/>
      <w:r>
        <w:rPr>
          <w:lang w:val="en-NZ"/>
        </w:rPr>
        <w:t>Ori</w:t>
      </w:r>
      <w:proofErr w:type="spellEnd"/>
      <w:r>
        <w:rPr>
          <w:lang w:val="en-NZ"/>
        </w:rPr>
        <w:t xml:space="preserve">-finder and indicates that it differs slightly from the GC skew minimum  (obtained using </w:t>
      </w:r>
      <w:hyperlink r:id="rId5" w:history="1">
        <w:r w:rsidRPr="00446E09">
          <w:rPr>
            <w:rStyle w:val="Hyperlink"/>
          </w:rPr>
          <w:t>http://gcat.davidson.edu/DGPB/gc_skew/gc_skew.html</w:t>
        </w:r>
      </w:hyperlink>
      <w:r>
        <w:t xml:space="preserve">). As with c1, the exact location of the c2 origin might correspond to the </w:t>
      </w:r>
      <w:proofErr w:type="spellStart"/>
      <w:r>
        <w:t>iteron</w:t>
      </w:r>
      <w:proofErr w:type="spellEnd"/>
      <w:r>
        <w:t xml:space="preserve"> region rather than that 4kb away predicted by </w:t>
      </w:r>
      <w:proofErr w:type="spellStart"/>
      <w:r>
        <w:t>Ori</w:t>
      </w:r>
      <w:proofErr w:type="spellEnd"/>
      <w:r>
        <w:t>-finder (</w:t>
      </w:r>
      <w:r w:rsidRPr="00EA2FCF">
        <w:rPr>
          <w:i/>
        </w:rPr>
        <w:t>ori-c2</w:t>
      </w:r>
      <w:r>
        <w:t>*).</w:t>
      </w:r>
    </w:p>
    <w:p w:rsidR="00CB459F" w:rsidRDefault="00CB459F"/>
    <w:sectPr w:rsidR="00CB459F" w:rsidSect="00CB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0C0F0B"/>
    <w:rsid w:val="000C0F0B"/>
    <w:rsid w:val="00CB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C0F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cat.davidson.edu/DGPB/gc_skew/gc_skew.html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2016-06-08T16:14:00Z</dcterms:created>
  <dcterms:modified xsi:type="dcterms:W3CDTF">2016-06-08T16:14:00Z</dcterms:modified>
</cp:coreProperties>
</file>