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0" w:rsidRDefault="009E1BA3" w:rsidP="00473640">
      <w:pPr>
        <w:pStyle w:val="Default"/>
        <w:jc w:val="left"/>
        <w:rPr>
          <w:rFonts w:hint="eastAsia"/>
        </w:rPr>
      </w:pPr>
      <w:bookmarkStart w:id="0" w:name="_GoBack"/>
      <w:proofErr w:type="gramStart"/>
      <w:r>
        <w:rPr>
          <w:rFonts w:ascii="Times New Roman" w:eastAsiaTheme="minorEastAsia" w:hAnsi="Times New Roman" w:cs="Times New Roman" w:hint="eastAsia"/>
        </w:rPr>
        <w:t xml:space="preserve">S6 </w:t>
      </w:r>
      <w:r>
        <w:rPr>
          <w:rFonts w:ascii="Times New Roman" w:eastAsia="MS Mincho" w:hAnsi="Times New Roman" w:cs="Times New Roman"/>
          <w:lang w:eastAsia="en-US"/>
        </w:rPr>
        <w:t>Table</w:t>
      </w:r>
      <w:r w:rsidR="00473640">
        <w:rPr>
          <w:rFonts w:ascii="Times New Roman" w:eastAsia="MS Mincho" w:hAnsi="Times New Roman" w:cs="Times New Roman"/>
          <w:lang w:eastAsia="en-US"/>
        </w:rPr>
        <w:t>.</w:t>
      </w:r>
      <w:proofErr w:type="gramEnd"/>
      <w:r w:rsidR="00473640">
        <w:rPr>
          <w:rFonts w:ascii="Times New Roman" w:eastAsia="MS Mincho" w:hAnsi="Times New Roman" w:cs="Times New Roman"/>
          <w:lang w:eastAsia="en-US"/>
        </w:rPr>
        <w:t xml:space="preserve"> Phenotypic variation in </w:t>
      </w:r>
      <w:r w:rsidR="00473640" w:rsidRPr="004F5ECD">
        <w:rPr>
          <w:rFonts w:ascii="Times New Roman" w:eastAsia="MS Mincho" w:hAnsi="Times New Roman" w:cs="Times New Roman"/>
          <w:i/>
          <w:color w:val="FF0000"/>
          <w:lang w:eastAsia="en-US"/>
        </w:rPr>
        <w:t>UB3-mum4</w:t>
      </w:r>
      <w:r w:rsidR="00473640">
        <w:rPr>
          <w:rFonts w:ascii="Times New Roman" w:eastAsia="MS Mincho" w:hAnsi="Times New Roman" w:cs="Times New Roman"/>
          <w:lang w:eastAsia="en-US"/>
        </w:rPr>
        <w:t xml:space="preserve"> and </w:t>
      </w:r>
      <w:r w:rsidR="00473640" w:rsidRPr="004F5ECD">
        <w:rPr>
          <w:rFonts w:ascii="Times New Roman" w:eastAsia="MS Mincho" w:hAnsi="Times New Roman" w:cs="Times New Roman"/>
          <w:i/>
          <w:color w:val="FF0000"/>
          <w:lang w:eastAsia="en-US"/>
        </w:rPr>
        <w:t>UB2-mum3</w:t>
      </w:r>
      <w:r w:rsidR="00473640">
        <w:rPr>
          <w:rFonts w:ascii="Times New Roman" w:eastAsia="MS Mincho" w:hAnsi="Times New Roman" w:cs="Times New Roman"/>
          <w:lang w:eastAsia="en-US"/>
        </w:rPr>
        <w:t xml:space="preserve"> double mutants and wild type in Wuhan in 2014</w:t>
      </w:r>
    </w:p>
    <w:tbl>
      <w:tblPr>
        <w:tblW w:w="0" w:type="auto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323"/>
        <w:gridCol w:w="1219"/>
        <w:gridCol w:w="996"/>
        <w:gridCol w:w="763"/>
      </w:tblGrid>
      <w:tr w:rsidR="00473640" w:rsidTr="008476EA">
        <w:trPr>
          <w:trHeight w:val="640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Traits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 w:rsidRPr="004F5ECD">
              <w:rPr>
                <w:rFonts w:ascii="Times New Roman" w:hAnsi="Times New Roman" w:cs="Times New Roman"/>
                <w:i/>
                <w:color w:val="FF0000"/>
              </w:rPr>
              <w:t>UB3-mum4</w:t>
            </w:r>
          </w:p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 w:rsidRPr="004F5ECD">
              <w:rPr>
                <w:rFonts w:ascii="Times New Roman" w:hAnsi="Times New Roman" w:cs="Times New Roman"/>
                <w:i/>
                <w:color w:val="FF0000"/>
              </w:rPr>
              <w:t>UB2-mum3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Wild Type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N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KRN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14.1 ± 1.6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16.0</w:t>
            </w:r>
            <w:r>
              <w:rPr>
                <w:rFonts w:ascii="Times New Roman" w:hAnsi="Times New Roman" w:cs="Times New Roman"/>
                <w:color w:val="FF0000"/>
              </w:rPr>
              <w:t xml:space="preserve"> ± 1.</w:t>
            </w: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2.21</w:t>
            </w: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E</w:t>
            </w:r>
            <w:r w:rsidRPr="00473640">
              <w:rPr>
                <w:rFonts w:ascii="Times New Roman" w:eastAsia="MS Mincho" w:hAnsi="Times New Roman" w:cs="Times New Roman"/>
                <w:color w:val="FF0000"/>
                <w:vertAlign w:val="superscript"/>
                <w:lang w:eastAsia="en-US"/>
              </w:rPr>
              <w:t>-0</w:t>
            </w:r>
            <w:r w:rsidRPr="00473640">
              <w:rPr>
                <w:rFonts w:ascii="Times New Roman" w:hAnsi="Times New Roman" w:cs="Times New Roman"/>
                <w:color w:val="FF000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ED(mm)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33.2 ± 1.8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 w:hint="eastAsia"/>
                <w:color w:val="FF0000"/>
              </w:rPr>
              <w:t>5.8</w:t>
            </w:r>
            <w:r>
              <w:rPr>
                <w:rFonts w:ascii="Times New Roman" w:hAnsi="Times New Roman" w:cs="Times New Roman"/>
                <w:color w:val="FF0000"/>
              </w:rPr>
              <w:t xml:space="preserve"> ± 1.8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2.9</w:t>
            </w: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0E</w:t>
            </w:r>
            <w:r w:rsidRPr="00473640">
              <w:rPr>
                <w:rFonts w:ascii="Times New Roman" w:eastAsia="MS Mincho" w:hAnsi="Times New Roman" w:cs="Times New Roman"/>
                <w:color w:val="FF0000"/>
                <w:vertAlign w:val="superscript"/>
                <w:lang w:eastAsia="en-US"/>
              </w:rPr>
              <w:t>-0</w:t>
            </w:r>
            <w:r w:rsidRPr="00473640">
              <w:rPr>
                <w:rFonts w:ascii="Times New Roman" w:hAnsi="Times New Roman" w:cs="Times New Roman"/>
                <w:color w:val="FF000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EL(cm)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14.1 ±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14.8 ± 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0.</w:t>
            </w:r>
            <w:r>
              <w:rPr>
                <w:rFonts w:ascii="Times New Roman" w:hAnsi="Times New Roman" w:cs="Times New Roman"/>
                <w:color w:val="FF0000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KNR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28.5 ± 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30.9 ± 3.7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Total BN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6.7 ± 1.6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9.0 ± 1.9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1.13E</w:t>
            </w:r>
            <w:r w:rsidRPr="00473640">
              <w:rPr>
                <w:rFonts w:ascii="Times New Roman" w:eastAsia="MS Mincho" w:hAnsi="Times New Roman" w:cs="Times New Roman"/>
                <w:color w:val="FF0000"/>
                <w:vertAlign w:val="superscript"/>
                <w:lang w:eastAsia="en-US"/>
              </w:rPr>
              <w:t>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Primary BN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5.9 ± 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7.6 ± 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2.50E</w:t>
            </w:r>
            <w:r w:rsidRPr="00473640">
              <w:rPr>
                <w:rFonts w:ascii="Times New Roman" w:eastAsia="MS Mincho" w:hAnsi="Times New Roman" w:cs="Times New Roman"/>
                <w:color w:val="FF0000"/>
                <w:vertAlign w:val="superscript"/>
                <w:lang w:eastAsia="en-US"/>
              </w:rPr>
              <w:t>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  <w:tr w:rsidR="00473640" w:rsidTr="008476EA">
        <w:trPr>
          <w:trHeight w:val="72"/>
        </w:trPr>
        <w:tc>
          <w:tcPr>
            <w:tcW w:w="0" w:type="auto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Secondary BN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0.9 ± 0.7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1.5 ± 1.1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>0.0</w:t>
            </w: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40" w:rsidRDefault="00473640" w:rsidP="00473640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Times New Roman" w:eastAsia="MS Mincho" w:hAnsi="Times New Roman" w:cs="Times New Roman"/>
                <w:color w:val="FF0000"/>
                <w:lang w:eastAsia="en-US"/>
              </w:rPr>
              <w:t>21/22</w:t>
            </w:r>
          </w:p>
        </w:tc>
      </w:tr>
    </w:tbl>
    <w:p w:rsidR="00473640" w:rsidRDefault="00473640" w:rsidP="00473640">
      <w:pPr>
        <w:pStyle w:val="Default"/>
        <w:jc w:val="center"/>
        <w:rPr>
          <w:rFonts w:hint="eastAsia"/>
        </w:rPr>
      </w:pPr>
    </w:p>
    <w:p w:rsidR="00473640" w:rsidRPr="00473640" w:rsidRDefault="00473640" w:rsidP="00473640">
      <w:pPr>
        <w:pStyle w:val="Default"/>
        <w:jc w:val="left"/>
        <w:rPr>
          <w:rFonts w:eastAsiaTheme="minorEastAsia" w:hint="eastAsia"/>
        </w:rPr>
        <w:sectPr w:rsidR="00473640" w:rsidRPr="00473640" w:rsidSect="000A73D6">
          <w:pgSz w:w="11906" w:h="16838"/>
          <w:pgMar w:top="1440" w:right="1440" w:bottom="1440" w:left="1440" w:header="720" w:footer="720" w:gutter="0"/>
          <w:cols w:space="720"/>
          <w:formProt w:val="0"/>
          <w:docGrid w:linePitch="286"/>
        </w:sectPr>
      </w:pPr>
      <w:r>
        <w:rPr>
          <w:rFonts w:ascii="Times New Roman" w:eastAsia="MS Mincho" w:hAnsi="Times New Roman" w:cs="Times New Roman"/>
          <w:lang w:eastAsia="en-US"/>
        </w:rPr>
        <w:t xml:space="preserve">KRN: kernel row number; Total BN: Total branch number; Primary BN: Primary branch number; Secondary BN: Secondary branch number; ED: ear </w:t>
      </w:r>
      <w:proofErr w:type="spellStart"/>
      <w:r>
        <w:rPr>
          <w:rFonts w:ascii="Times New Roman" w:eastAsia="MS Mincho" w:hAnsi="Times New Roman" w:cs="Times New Roman"/>
          <w:lang w:eastAsia="en-US"/>
        </w:rPr>
        <w:t>diamter</w:t>
      </w:r>
      <w:proofErr w:type="spellEnd"/>
      <w:r>
        <w:rPr>
          <w:rFonts w:ascii="Times New Roman" w:eastAsia="MS Mincho" w:hAnsi="Times New Roman" w:cs="Times New Roman"/>
          <w:lang w:eastAsia="en-US"/>
        </w:rPr>
        <w:t>; EL: ear length; KNR: kernel number per row; N: sample size, mutant/wild type; Mean ± SD</w:t>
      </w:r>
    </w:p>
    <w:bookmarkEnd w:id="0"/>
    <w:p w:rsidR="00551DF1" w:rsidRPr="00473640" w:rsidRDefault="00551DF1"/>
    <w:sectPr w:rsidR="00551DF1" w:rsidRPr="0047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40" w:rsidRDefault="00473640" w:rsidP="00473640">
      <w:r>
        <w:separator/>
      </w:r>
    </w:p>
  </w:endnote>
  <w:endnote w:type="continuationSeparator" w:id="0">
    <w:p w:rsidR="00473640" w:rsidRDefault="00473640" w:rsidP="0047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40" w:rsidRDefault="00473640" w:rsidP="00473640">
      <w:r>
        <w:separator/>
      </w:r>
    </w:p>
  </w:footnote>
  <w:footnote w:type="continuationSeparator" w:id="0">
    <w:p w:rsidR="00473640" w:rsidRDefault="00473640" w:rsidP="0047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4"/>
    <w:rsid w:val="00473640"/>
    <w:rsid w:val="00551DF1"/>
    <w:rsid w:val="006A2984"/>
    <w:rsid w:val="009E1BA3"/>
    <w:rsid w:val="00AB2308"/>
    <w:rsid w:val="00C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40"/>
    <w:rPr>
      <w:sz w:val="18"/>
      <w:szCs w:val="18"/>
    </w:rPr>
  </w:style>
  <w:style w:type="paragraph" w:customStyle="1" w:styleId="Default">
    <w:name w:val="Default"/>
    <w:rsid w:val="00473640"/>
    <w:pPr>
      <w:tabs>
        <w:tab w:val="left" w:pos="420"/>
      </w:tabs>
      <w:suppressAutoHyphens/>
      <w:jc w:val="both"/>
    </w:pPr>
    <w:rPr>
      <w:rFonts w:ascii="Minion Pro" w:eastAsia="宋体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40"/>
    <w:rPr>
      <w:sz w:val="18"/>
      <w:szCs w:val="18"/>
    </w:rPr>
  </w:style>
  <w:style w:type="paragraph" w:customStyle="1" w:styleId="Default">
    <w:name w:val="Default"/>
    <w:rsid w:val="00473640"/>
    <w:pPr>
      <w:tabs>
        <w:tab w:val="left" w:pos="420"/>
      </w:tabs>
      <w:suppressAutoHyphens/>
      <w:jc w:val="both"/>
    </w:pPr>
    <w:rPr>
      <w:rFonts w:ascii="Minion Pro" w:eastAsia="宋体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2015-07-21T15:39:00Z</dcterms:created>
  <dcterms:modified xsi:type="dcterms:W3CDTF">2015-07-22T07:51:00Z</dcterms:modified>
</cp:coreProperties>
</file>