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276"/>
        <w:gridCol w:w="1276"/>
        <w:gridCol w:w="1417"/>
        <w:gridCol w:w="1418"/>
        <w:gridCol w:w="1409"/>
      </w:tblGrid>
      <w:tr w:rsidR="0013230D" w:rsidRPr="00DE7BBF" w:rsidTr="00BB7F97">
        <w:trPr>
          <w:trHeight w:val="572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>OMIM disease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>HI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 xml:space="preserve">HI and </w:t>
            </w:r>
            <w:r w:rsidRPr="0021123E">
              <w:rPr>
                <w:rFonts w:asciiTheme="minorHAnsi" w:hAnsiTheme="minorHAnsi" w:cs="Arial"/>
                <w:b/>
                <w:bCs/>
                <w:i/>
                <w:kern w:val="24"/>
                <w:sz w:val="20"/>
                <w:szCs w:val="20"/>
                <w:lang w:eastAsia="en-GB"/>
              </w:rPr>
              <w:t>de novo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>Essential Gene List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21123E">
            <w:pPr>
              <w:spacing w:after="0" w:line="240" w:lineRule="auto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 xml:space="preserve">Pearson’s </w:t>
            </w:r>
            <w:r w:rsidRPr="00DE7BBF">
              <w:rPr>
                <w:rFonts w:asciiTheme="minorHAnsi" w:hAnsiTheme="minorHAnsi" w:cs="Arial"/>
                <w:i/>
                <w:iCs/>
                <w:kern w:val="24"/>
                <w:sz w:val="20"/>
                <w:szCs w:val="20"/>
                <w:lang w:eastAsia="en-GB"/>
              </w:rPr>
              <w:t>r</w:t>
            </w: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 xml:space="preserve"> (</w:t>
            </w:r>
            <w:r w:rsidR="0021123E" w:rsidRPr="0021123E">
              <w:rPr>
                <w:rFonts w:asciiTheme="minorHAnsi" w:hAnsiTheme="minorHAnsi" w:cs="Arial"/>
                <w:i/>
                <w:kern w:val="24"/>
                <w:sz w:val="20"/>
                <w:szCs w:val="20"/>
                <w:lang w:eastAsia="en-GB"/>
              </w:rPr>
              <w:t>r</w:t>
            </w:r>
            <w:r w:rsidR="0021123E" w:rsidRPr="0021123E">
              <w:rPr>
                <w:rFonts w:asciiTheme="minorHAnsi" w:hAnsiTheme="minorHAnsi" w:cs="Arial"/>
                <w:i/>
                <w:kern w:val="24"/>
                <w:sz w:val="20"/>
                <w:szCs w:val="20"/>
                <w:vertAlign w:val="superscript"/>
                <w:lang w:eastAsia="en-GB"/>
              </w:rPr>
              <w:t>2</w:t>
            </w: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 xml:space="preserve">) to </w:t>
            </w:r>
            <w:proofErr w:type="spellStart"/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ncRVIS</w:t>
            </w:r>
            <w:proofErr w:type="spellEnd"/>
          </w:p>
        </w:tc>
      </w:tr>
      <w:tr w:rsidR="0013230D" w:rsidRPr="00DE7BBF" w:rsidTr="00BB7F97">
        <w:trPr>
          <w:trHeight w:val="353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>Number of genes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1</w:t>
            </w:r>
            <w:r w:rsidR="0021123E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,</w:t>
            </w: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1</w:t>
            </w:r>
            <w:r w:rsidR="0021123E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,</w:t>
            </w: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098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-</w:t>
            </w:r>
          </w:p>
        </w:tc>
      </w:tr>
      <w:tr w:rsidR="0013230D" w:rsidRPr="00DE7BBF" w:rsidTr="00BB7F97">
        <w:trPr>
          <w:trHeight w:val="353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lang w:eastAsia="en-GB"/>
              </w:rPr>
              <w:t>RVIS (6503)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</w:pP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1.3x10</w:t>
            </w: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vertAlign w:val="superscript"/>
                <w:lang w:eastAsia="en-GB"/>
              </w:rPr>
              <w:t>-18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AUC=0.594</w:t>
            </w:r>
          </w:p>
          <w:p w:rsidR="0013230D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[0.58-0.61]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2.9x10</w:t>
            </w: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vertAlign w:val="superscript"/>
                <w:lang w:eastAsia="en-GB"/>
              </w:rPr>
              <w:t>-13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AUC=0.711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[0.66-0.76]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1.1x10</w:t>
            </w: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vertAlign w:val="superscript"/>
                <w:lang w:eastAsia="en-GB"/>
              </w:rPr>
              <w:t>-10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AUC=0.769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/>
                <w:kern w:val="24"/>
                <w:sz w:val="20"/>
                <w:szCs w:val="20"/>
                <w:lang w:eastAsia="en-GB"/>
              </w:rPr>
              <w:t>[0.71-0.82]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1.1x10</w:t>
            </w:r>
            <w:r w:rsidRPr="00DE7BBF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  <w:u w:val="single"/>
                <w:vertAlign w:val="superscript"/>
                <w:lang w:eastAsia="en-GB"/>
              </w:rPr>
              <w:t>-43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AUC=0.647</w:t>
            </w:r>
          </w:p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kern w:val="24"/>
                <w:sz w:val="20"/>
                <w:szCs w:val="20"/>
                <w:lang w:eastAsia="en-GB"/>
              </w:rPr>
              <w:t>[0.63-0.66]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spacing w:after="0" w:line="240" w:lineRule="auto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</w:pPr>
            <w:r w:rsidRPr="00DE7BBF"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  <w:t>0.21 (0.042)</w:t>
            </w:r>
          </w:p>
        </w:tc>
      </w:tr>
      <w:tr w:rsidR="0013230D" w:rsidRPr="00DE7BBF" w:rsidTr="00BB7F97">
        <w:trPr>
          <w:trHeight w:val="127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</w:pPr>
            <w:proofErr w:type="spellStart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>ncRVIS</w:t>
            </w:r>
            <w:proofErr w:type="spellEnd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 xml:space="preserve"> (690)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0.42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AUC=0.506</w:t>
            </w:r>
          </w:p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[0.49-0.52]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1.9x10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-5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AUC=0.610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[0.55-0.67]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1.4x10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-6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AUC=0.637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[0.56-0.71]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5.5x10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-13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AUC=0.581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[0.56-0.60]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1 (1)</w:t>
            </w:r>
          </w:p>
        </w:tc>
      </w:tr>
      <w:tr w:rsidR="0013230D" w:rsidRPr="00DE7BBF" w:rsidTr="00BB7F97">
        <w:trPr>
          <w:trHeight w:val="127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</w:pPr>
            <w:proofErr w:type="spellStart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>ncRVIS</w:t>
            </w:r>
            <w:proofErr w:type="spellEnd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 xml:space="preserve"> (promoter)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0.19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AUC=0.510</w:t>
            </w:r>
          </w:p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[0.49-0.53]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0.024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AUC=0.563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[0.50-0.62]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0.064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AUC=0.557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[0.48-0.63]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3.1x10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-4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AUC=0.548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[0.53-0.57]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0.50 (0.247)</w:t>
            </w:r>
          </w:p>
        </w:tc>
      </w:tr>
      <w:tr w:rsidR="0013230D" w:rsidRPr="00DE7BBF" w:rsidTr="00BB7F97">
        <w:trPr>
          <w:trHeight w:val="127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</w:pPr>
            <w:proofErr w:type="spellStart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>ncRVIS</w:t>
            </w:r>
            <w:proofErr w:type="spellEnd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 xml:space="preserve"> (5’UTR)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0.025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AUC=0.511</w:t>
            </w:r>
          </w:p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[0.49-0.53]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0.012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AUC=0.560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[0.50-0.62]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0.088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AUC=0.554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[0.46-0.64]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5.1x10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-6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AUC=0.546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[0.53-0.56]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0.44 (0.197)</w:t>
            </w:r>
          </w:p>
        </w:tc>
      </w:tr>
      <w:tr w:rsidR="0013230D" w:rsidRPr="00DE7BBF" w:rsidTr="00BB7F97">
        <w:trPr>
          <w:trHeight w:val="127"/>
        </w:trPr>
        <w:tc>
          <w:tcPr>
            <w:tcW w:w="12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</w:pPr>
            <w:proofErr w:type="spellStart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>ncRVIS</w:t>
            </w:r>
            <w:proofErr w:type="spellEnd"/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lang w:val="en-US"/>
              </w:rPr>
              <w:t xml:space="preserve"> (3’UTR)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0.98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AUC=0.506</w:t>
            </w:r>
          </w:p>
          <w:p w:rsidR="0013230D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[0.49-0.52]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1.2x10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-4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AUC=0.587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[0.53-0.65]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1.4x10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-7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AUC=0.631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[0.55-0.71]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2.0x10</w:t>
            </w: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vertAlign w:val="superscript"/>
                <w:lang w:val="en-US"/>
              </w:rPr>
              <w:t>-8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AUC=0.568</w:t>
            </w:r>
          </w:p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kern w:val="24"/>
                <w:sz w:val="20"/>
                <w:szCs w:val="20"/>
                <w:lang w:val="en-US"/>
              </w:rPr>
              <w:t>[0.55-0.59]</w:t>
            </w:r>
          </w:p>
        </w:tc>
        <w:tc>
          <w:tcPr>
            <w:tcW w:w="14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30D" w:rsidRPr="00DE7BBF" w:rsidRDefault="0013230D" w:rsidP="0016243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</w:pPr>
            <w:r w:rsidRPr="00DE7BBF">
              <w:rPr>
                <w:rFonts w:asciiTheme="minorHAnsi" w:hAnsiTheme="minorHAnsi" w:cs="Calibri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0.89 (0.790)</w:t>
            </w:r>
          </w:p>
        </w:tc>
      </w:tr>
    </w:tbl>
    <w:p w:rsidR="0013230D" w:rsidRPr="00BB7F97" w:rsidRDefault="0013230D" w:rsidP="0021123E">
      <w:pPr>
        <w:spacing w:after="0"/>
        <w:jc w:val="both"/>
        <w:rPr>
          <w:sz w:val="20"/>
          <w:szCs w:val="20"/>
        </w:rPr>
      </w:pPr>
      <w:proofErr w:type="gramStart"/>
      <w:r w:rsidRPr="00BB7F97">
        <w:rPr>
          <w:b/>
          <w:sz w:val="20"/>
          <w:szCs w:val="20"/>
        </w:rPr>
        <w:t>S3 Table.</w:t>
      </w:r>
      <w:proofErr w:type="gramEnd"/>
      <w:r w:rsidRPr="00BB7F97">
        <w:rPr>
          <w:sz w:val="20"/>
          <w:szCs w:val="20"/>
        </w:rPr>
        <w:t xml:space="preserve"> Based on the intersecting 9,644 (57%) CCDS release 9 genes that had all the following RVIS “assessable</w:t>
      </w:r>
      <w:r w:rsidR="0021123E" w:rsidRPr="00BB7F97">
        <w:rPr>
          <w:sz w:val="20"/>
          <w:szCs w:val="20"/>
        </w:rPr>
        <w:t>”</w:t>
      </w:r>
      <w:r w:rsidRPr="00BB7F97">
        <w:rPr>
          <w:sz w:val="20"/>
          <w:szCs w:val="20"/>
        </w:rPr>
        <w:t xml:space="preserve"> formulations: an original RVIS score (</w:t>
      </w:r>
      <w:proofErr w:type="spellStart"/>
      <w:r w:rsidRPr="00BB7F97">
        <w:rPr>
          <w:sz w:val="20"/>
          <w:szCs w:val="20"/>
        </w:rPr>
        <w:t>Petrovski</w:t>
      </w:r>
      <w:proofErr w:type="spellEnd"/>
      <w:r w:rsidRPr="00BB7F97">
        <w:rPr>
          <w:sz w:val="20"/>
          <w:szCs w:val="20"/>
        </w:rPr>
        <w:t xml:space="preserve"> et al 2013), </w:t>
      </w:r>
      <w:proofErr w:type="gramStart"/>
      <w:r w:rsidRPr="00BB7F97">
        <w:rPr>
          <w:sz w:val="20"/>
          <w:szCs w:val="20"/>
        </w:rPr>
        <w:t>a</w:t>
      </w:r>
      <w:proofErr w:type="gramEnd"/>
      <w:r w:rsidRPr="00BB7F97">
        <w:rPr>
          <w:sz w:val="20"/>
          <w:szCs w:val="20"/>
        </w:rPr>
        <w:t xml:space="preserve"> </w:t>
      </w:r>
      <w:proofErr w:type="spellStart"/>
      <w:r w:rsidRPr="00BB7F97">
        <w:rPr>
          <w:sz w:val="20"/>
          <w:szCs w:val="20"/>
        </w:rPr>
        <w:t>ncRVIS</w:t>
      </w:r>
      <w:proofErr w:type="spellEnd"/>
      <w:r w:rsidRPr="00BB7F97">
        <w:rPr>
          <w:sz w:val="20"/>
          <w:szCs w:val="20"/>
        </w:rPr>
        <w:t xml:space="preserve">, a promoter </w:t>
      </w:r>
      <w:proofErr w:type="spellStart"/>
      <w:r w:rsidRPr="00BB7F97">
        <w:rPr>
          <w:sz w:val="20"/>
          <w:szCs w:val="20"/>
        </w:rPr>
        <w:t>ncRVIS</w:t>
      </w:r>
      <w:proofErr w:type="spellEnd"/>
      <w:r w:rsidRPr="00BB7F97">
        <w:rPr>
          <w:sz w:val="20"/>
          <w:szCs w:val="20"/>
        </w:rPr>
        <w:t xml:space="preserve">, a 5’ UTR </w:t>
      </w:r>
      <w:proofErr w:type="spellStart"/>
      <w:r w:rsidR="00C31B17" w:rsidRPr="00BB7F97">
        <w:rPr>
          <w:sz w:val="20"/>
          <w:szCs w:val="20"/>
        </w:rPr>
        <w:t>nc</w:t>
      </w:r>
      <w:r w:rsidRPr="00BB7F97">
        <w:rPr>
          <w:sz w:val="20"/>
          <w:szCs w:val="20"/>
        </w:rPr>
        <w:t>RVIS</w:t>
      </w:r>
      <w:proofErr w:type="spellEnd"/>
      <w:r w:rsidRPr="00BB7F97">
        <w:rPr>
          <w:sz w:val="20"/>
          <w:szCs w:val="20"/>
        </w:rPr>
        <w:t xml:space="preserve">, and a 3’ </w:t>
      </w:r>
      <w:bookmarkStart w:id="0" w:name="_GoBack"/>
      <w:bookmarkEnd w:id="0"/>
      <w:r w:rsidRPr="00BB7F97">
        <w:rPr>
          <w:sz w:val="20"/>
          <w:szCs w:val="20"/>
        </w:rPr>
        <w:t xml:space="preserve">UTR </w:t>
      </w:r>
      <w:proofErr w:type="spellStart"/>
      <w:r w:rsidR="00C31B17" w:rsidRPr="00BB7F97">
        <w:rPr>
          <w:sz w:val="20"/>
          <w:szCs w:val="20"/>
        </w:rPr>
        <w:t>nc</w:t>
      </w:r>
      <w:r w:rsidRPr="00BB7F97">
        <w:rPr>
          <w:sz w:val="20"/>
          <w:szCs w:val="20"/>
        </w:rPr>
        <w:t>RVIS</w:t>
      </w:r>
      <w:proofErr w:type="spellEnd"/>
      <w:r w:rsidRPr="00BB7F97">
        <w:rPr>
          <w:sz w:val="20"/>
          <w:szCs w:val="20"/>
        </w:rPr>
        <w:t>.</w:t>
      </w:r>
    </w:p>
    <w:p w:rsidR="00AD3489" w:rsidRPr="00BB7F97" w:rsidRDefault="0021123E" w:rsidP="0021123E">
      <w:pPr>
        <w:spacing w:after="0"/>
        <w:jc w:val="both"/>
      </w:pPr>
      <w:r w:rsidRPr="00BB7F97">
        <w:rPr>
          <w:sz w:val="20"/>
          <w:szCs w:val="20"/>
        </w:rPr>
        <w:t>To obtain the presented levels of significance, we used a logistic regression model to regress the presence or absence of a gene, within the corresponding gene list, on each of the genic scores. The [95% CI] for the AUC estimates are provided for each cell. Correlation plots for the pairs of scores are available in Fig S1.</w:t>
      </w:r>
    </w:p>
    <w:sectPr w:rsidR="00AD3489" w:rsidRPr="00BB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D"/>
    <w:rsid w:val="0013230D"/>
    <w:rsid w:val="0021123E"/>
    <w:rsid w:val="006C1901"/>
    <w:rsid w:val="00AD3489"/>
    <w:rsid w:val="00BB57B1"/>
    <w:rsid w:val="00BB7F97"/>
    <w:rsid w:val="00C31B17"/>
    <w:rsid w:val="00D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0D"/>
    <w:rPr>
      <w:rFonts w:ascii="Calibri" w:eastAsiaTheme="minorEastAsia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2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0D"/>
    <w:rPr>
      <w:rFonts w:ascii="Calibri" w:eastAsiaTheme="minorEastAsia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2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Slav</cp:lastModifiedBy>
  <cp:revision>7</cp:revision>
  <cp:lastPrinted>2015-06-05T00:42:00Z</cp:lastPrinted>
  <dcterms:created xsi:type="dcterms:W3CDTF">2015-01-31T23:42:00Z</dcterms:created>
  <dcterms:modified xsi:type="dcterms:W3CDTF">2015-08-15T23:59:00Z</dcterms:modified>
</cp:coreProperties>
</file>