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3" w:rsidRPr="0050077E" w:rsidRDefault="004E0A23" w:rsidP="004E0A23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 w:rsidRPr="0050077E">
        <w:rPr>
          <w:b/>
          <w:sz w:val="28"/>
          <w:szCs w:val="28"/>
          <w:lang w:val="en-US"/>
        </w:rPr>
        <w:t>Supplemental data</w:t>
      </w:r>
    </w:p>
    <w:p w:rsidR="00504A6A" w:rsidRPr="00B87A30" w:rsidRDefault="00504A6A" w:rsidP="004E0A23">
      <w:pPr>
        <w:spacing w:line="360" w:lineRule="auto"/>
        <w:jc w:val="both"/>
        <w:outlineLvl w:val="0"/>
        <w:rPr>
          <w:b/>
          <w:sz w:val="24"/>
          <w:lang w:val="en-US"/>
        </w:rPr>
      </w:pPr>
      <w:r w:rsidRPr="00B87A30">
        <w:rPr>
          <w:b/>
          <w:sz w:val="24"/>
          <w:lang w:val="en-US"/>
        </w:rPr>
        <w:t>Supplementary Methods</w:t>
      </w:r>
    </w:p>
    <w:p w:rsidR="00504A6A" w:rsidRPr="00B87A30" w:rsidRDefault="00504A6A" w:rsidP="00504A6A">
      <w:pPr>
        <w:spacing w:line="360" w:lineRule="auto"/>
        <w:jc w:val="both"/>
        <w:outlineLvl w:val="0"/>
        <w:rPr>
          <w:b/>
          <w:lang w:val="en-US"/>
        </w:rPr>
      </w:pPr>
      <w:r w:rsidRPr="00B87A30">
        <w:rPr>
          <w:b/>
          <w:lang w:val="en-US"/>
        </w:rPr>
        <w:t>Pulse-field gel electrophoresis.</w:t>
      </w:r>
    </w:p>
    <w:p w:rsidR="003813F7" w:rsidRPr="00B87A30" w:rsidRDefault="00504A6A" w:rsidP="003813F7">
      <w:pPr>
        <w:spacing w:line="360" w:lineRule="auto"/>
        <w:jc w:val="both"/>
        <w:outlineLvl w:val="0"/>
        <w:rPr>
          <w:lang w:val="en-US"/>
        </w:rPr>
      </w:pPr>
      <w:r w:rsidRPr="00B87A30">
        <w:rPr>
          <w:lang w:val="en-US"/>
        </w:rPr>
        <w:t xml:space="preserve">The sizes of rearranged chromosomes V were determined by pulsed-field gel electrophoresis analysis and Southern blotting techniques. Yeast chromosomal DNA blocks were prepared by mixing 1.25 ml of yeast cells from stationary-phase cultures with 1 % low melting point </w:t>
      </w:r>
      <w:proofErr w:type="spellStart"/>
      <w:r w:rsidRPr="00B87A30">
        <w:rPr>
          <w:lang w:val="en-US"/>
        </w:rPr>
        <w:t>agarose</w:t>
      </w:r>
      <w:proofErr w:type="spellEnd"/>
      <w:r w:rsidRPr="00B87A30">
        <w:rPr>
          <w:lang w:val="en-US"/>
        </w:rPr>
        <w:t xml:space="preserve"> (</w:t>
      </w:r>
      <w:proofErr w:type="spellStart"/>
      <w:r w:rsidRPr="00B87A30">
        <w:rPr>
          <w:lang w:val="en-US"/>
        </w:rPr>
        <w:t>Ca</w:t>
      </w:r>
      <w:r w:rsidR="00E926B0" w:rsidRPr="00B87A30">
        <w:rPr>
          <w:lang w:val="en-US"/>
        </w:rPr>
        <w:t>mbrex</w:t>
      </w:r>
      <w:proofErr w:type="spellEnd"/>
      <w:r w:rsidR="00E926B0" w:rsidRPr="00B87A30">
        <w:rPr>
          <w:lang w:val="en-US"/>
        </w:rPr>
        <w:t xml:space="preserve">) as described previously </w:t>
      </w:r>
      <w:r w:rsidR="004C5D93" w:rsidRPr="00B87A30">
        <w:fldChar w:fldCharType="begin"/>
      </w:r>
      <w:r w:rsidR="00E926B0" w:rsidRPr="00B87A30">
        <w:instrText xml:space="preserve"> ADDIN EN.CITE &lt;EndNote&gt;&lt;Cite&gt;&lt;Author&gt;Murakami&lt;/Author&gt;&lt;Year&gt;2009&lt;/Year&gt;&lt;RecNum&gt;1003&lt;/RecNum&gt;&lt;DisplayText&gt;[1]&lt;/DisplayText&gt;&lt;record&gt;&lt;rec-number&gt;1003&lt;/rec-number&gt;&lt;foreign-keys&gt;&lt;key app="EN" db-id="rsst90xxj2zza5epaa2x2z9jpxtp555zv52f"&gt;1003&lt;/key&gt;&lt;/foreign-keys&gt;&lt;ref-type name="Journal Article"&gt;17&lt;/ref-type&gt;&lt;contributors&gt;&lt;authors&gt;&lt;author&gt;Murakami, H.&lt;/author&gt;&lt;author&gt;Borde, V.&lt;/author&gt;&lt;author&gt;Nicolas, A.&lt;/author&gt;&lt;author&gt;Keeney, S.&lt;/author&gt;&lt;/authors&gt;&lt;/contributors&gt;&lt;auth-address&gt;Memorial Sloan-Kettering Cancer Center, New York, NY, USA.&lt;/auth-address&gt;&lt;titles&gt;&lt;title&gt;Gel electrophoresis assays for analyzing DNA double-strand breaks in Saccharomyces cerevisiae at various spatial resolutions&lt;/title&gt;&lt;secondary-title&gt;Methods Mol Biol&lt;/secondary-title&gt;&lt;/titles&gt;&lt;periodical&gt;&lt;full-title&gt;Methods Mol Biol&lt;/full-title&gt;&lt;/periodical&gt;&lt;pages&gt;117-42&lt;/pages&gt;&lt;volume&gt;557&lt;/volume&gt;&lt;edition&gt;2009/10/06&lt;/edition&gt;&lt;keywords&gt;&lt;keyword&gt;Algorithms&lt;/keyword&gt;&lt;keyword&gt;Base Sequence&lt;/keyword&gt;&lt;keyword&gt;Chromosome Mapping/methods&lt;/keyword&gt;&lt;keyword&gt;Chromosomes, Fungal&lt;/keyword&gt;&lt;keyword&gt;*DNA Breaks, Double-Stranded&lt;/keyword&gt;&lt;keyword&gt;DNA Mutational Analysis/methods&lt;/keyword&gt;&lt;keyword&gt;Electrophoresis, Gel, Pulsed-Field/methods&lt;/keyword&gt;&lt;keyword&gt;*Genetic Techniques&lt;/keyword&gt;&lt;keyword&gt;Models, Biological&lt;/keyword&gt;&lt;keyword&gt;Molecular Sequence Data&lt;/keyword&gt;&lt;keyword&gt;Saccharomyces cerevisiae/*genetics&lt;/keyword&gt;&lt;/keywords&gt;&lt;dates&gt;&lt;year&gt;2009&lt;/year&gt;&lt;/dates&gt;&lt;isbn&gt;1064-3745 (Print)&amp;#xD;1064-3745 (Linking)&lt;/isbn&gt;&lt;accession-num&gt;19799180&lt;/accession-num&gt;&lt;work-type&gt;Review&lt;/work-type&gt;&lt;urls&gt;&lt;related-urls&gt;&lt;url&gt;http://www.ncbi.nlm.nih.gov/pubmed/19799180&lt;/url&gt;&lt;/related-urls&gt;&lt;/urls&gt;&lt;custom2&gt;3157973&lt;/custom2&gt;&lt;electronic-resource-num&gt;10.1007/978-1-59745-527-5_9&lt;/electronic-resource-num&gt;&lt;language&gt;eng&lt;/language&gt;&lt;/record&gt;&lt;/Cite&gt;&lt;/EndNote&gt;</w:instrText>
      </w:r>
      <w:r w:rsidR="004C5D93" w:rsidRPr="00B87A30">
        <w:fldChar w:fldCharType="separate"/>
      </w:r>
      <w:r w:rsidR="00E926B0" w:rsidRPr="00B87A30">
        <w:rPr>
          <w:noProof/>
        </w:rPr>
        <w:t>[</w:t>
      </w:r>
      <w:hyperlink w:anchor="_ENREF_1" w:tooltip="Murakami, 2009 #1003" w:history="1">
        <w:r w:rsidR="00BC00E0" w:rsidRPr="00B87A30">
          <w:rPr>
            <w:noProof/>
          </w:rPr>
          <w:t>1</w:t>
        </w:r>
      </w:hyperlink>
      <w:r w:rsidR="00E926B0" w:rsidRPr="00B87A30">
        <w:rPr>
          <w:noProof/>
        </w:rPr>
        <w:t>]</w:t>
      </w:r>
      <w:r w:rsidR="004C5D93" w:rsidRPr="00B87A30">
        <w:fldChar w:fldCharType="end"/>
      </w:r>
      <w:r w:rsidRPr="00B87A30">
        <w:rPr>
          <w:lang w:val="en-US"/>
        </w:rPr>
        <w:t xml:space="preserve">. PFGE was performed with the CHEF-DR III system (Bio-Rad). Chromosomes were separated on a 1 % </w:t>
      </w:r>
      <w:proofErr w:type="spellStart"/>
      <w:r w:rsidRPr="00B87A30">
        <w:rPr>
          <w:lang w:val="en-US"/>
        </w:rPr>
        <w:t>agarose</w:t>
      </w:r>
      <w:proofErr w:type="spellEnd"/>
      <w:r w:rsidRPr="00B87A30">
        <w:rPr>
          <w:lang w:val="en-US"/>
        </w:rPr>
        <w:t xml:space="preserve"> gel in 0.5 X </w:t>
      </w:r>
      <w:proofErr w:type="spellStart"/>
      <w:r w:rsidRPr="00B87A30">
        <w:rPr>
          <w:lang w:val="en-US"/>
        </w:rPr>
        <w:t>Tris</w:t>
      </w:r>
      <w:proofErr w:type="spellEnd"/>
      <w:r w:rsidRPr="00B87A30">
        <w:rPr>
          <w:lang w:val="en-US"/>
        </w:rPr>
        <w:t>-borate-EDTA (TBE) buffer at 14°C for 24 h at 6.0 V/cm (120 V) with a 120°C included angle and a 60- to</w:t>
      </w:r>
      <w:r w:rsidR="004D2CBE" w:rsidRPr="00B87A30">
        <w:rPr>
          <w:lang w:val="en-US"/>
        </w:rPr>
        <w:t xml:space="preserve"> 120-s linear switch time ramp.</w:t>
      </w:r>
      <w:r w:rsidR="001D5B60" w:rsidRPr="00B87A30">
        <w:rPr>
          <w:lang w:val="en-US"/>
        </w:rPr>
        <w:t xml:space="preserve"> </w:t>
      </w:r>
      <w:r w:rsidR="004D2CBE" w:rsidRPr="00B87A30">
        <w:rPr>
          <w:lang w:val="en-US"/>
        </w:rPr>
        <w:t xml:space="preserve">DNA was transferred onto a </w:t>
      </w:r>
      <w:proofErr w:type="spellStart"/>
      <w:r w:rsidR="004D2CBE" w:rsidRPr="00B87A30">
        <w:rPr>
          <w:lang w:val="en-US"/>
        </w:rPr>
        <w:t>Hybond</w:t>
      </w:r>
      <w:proofErr w:type="spellEnd"/>
      <w:r w:rsidR="004D2CBE" w:rsidRPr="00B87A30">
        <w:rPr>
          <w:lang w:val="en-US"/>
        </w:rPr>
        <w:t>-XL membrane (</w:t>
      </w:r>
      <w:proofErr w:type="spellStart"/>
      <w:r w:rsidR="004D2CBE" w:rsidRPr="00B87A30">
        <w:rPr>
          <w:lang w:val="en-US"/>
        </w:rPr>
        <w:t>Amersham</w:t>
      </w:r>
      <w:proofErr w:type="spellEnd"/>
      <w:r w:rsidR="004D2CBE" w:rsidRPr="00B87A30">
        <w:rPr>
          <w:lang w:val="en-US"/>
        </w:rPr>
        <w:t xml:space="preserve"> Biosciences), and probed with a </w:t>
      </w:r>
      <w:r w:rsidR="003813F7" w:rsidRPr="00B87A30">
        <w:rPr>
          <w:rFonts w:ascii="Symbol" w:hAnsi="Symbol"/>
          <w:lang w:val="en-US"/>
        </w:rPr>
        <w:t>a</w:t>
      </w:r>
      <w:r w:rsidR="003813F7" w:rsidRPr="00B87A30">
        <w:rPr>
          <w:lang w:val="en-US"/>
        </w:rPr>
        <w:t>dCTP</w:t>
      </w:r>
      <w:r w:rsidR="003813F7" w:rsidRPr="00B87A30">
        <w:rPr>
          <w:vertAlign w:val="superscript"/>
          <w:lang w:val="en-US"/>
        </w:rPr>
        <w:t>32</w:t>
      </w:r>
      <w:r w:rsidR="003813F7" w:rsidRPr="00B87A30">
        <w:rPr>
          <w:lang w:val="en-US"/>
        </w:rPr>
        <w:t xml:space="preserve">-radiolabeled PCR fragment of 1759 </w:t>
      </w:r>
      <w:proofErr w:type="spellStart"/>
      <w:r w:rsidR="003813F7" w:rsidRPr="00B87A30">
        <w:rPr>
          <w:lang w:val="en-US"/>
        </w:rPr>
        <w:t>bp</w:t>
      </w:r>
      <w:proofErr w:type="spellEnd"/>
      <w:r w:rsidR="003813F7" w:rsidRPr="00B87A30">
        <w:rPr>
          <w:lang w:val="en-US"/>
        </w:rPr>
        <w:t xml:space="preserve"> corresponding to the </w:t>
      </w:r>
      <w:r w:rsidR="003813F7" w:rsidRPr="00B87A30">
        <w:rPr>
          <w:i/>
          <w:lang w:val="en-US"/>
        </w:rPr>
        <w:t xml:space="preserve">FCY2 </w:t>
      </w:r>
      <w:r w:rsidR="003813F7" w:rsidRPr="00B87A30">
        <w:rPr>
          <w:lang w:val="en-US"/>
        </w:rPr>
        <w:t>gene (chV:266,200-267,959).</w:t>
      </w:r>
    </w:p>
    <w:p w:rsidR="00504A6A" w:rsidRPr="00B87A30" w:rsidRDefault="003813F7" w:rsidP="00504A6A">
      <w:pPr>
        <w:spacing w:line="360" w:lineRule="auto"/>
        <w:jc w:val="both"/>
        <w:outlineLvl w:val="0"/>
        <w:rPr>
          <w:b/>
          <w:lang w:val="en-US"/>
        </w:rPr>
      </w:pPr>
      <w:r w:rsidRPr="00B87A30">
        <w:rPr>
          <w:lang w:val="en-US"/>
        </w:rPr>
        <w:t xml:space="preserve"> </w:t>
      </w:r>
      <w:r w:rsidR="00504A6A" w:rsidRPr="00B87A30">
        <w:rPr>
          <w:b/>
          <w:lang w:val="en-US"/>
        </w:rPr>
        <w:t>Comparative Genomic Hybridization</w:t>
      </w:r>
    </w:p>
    <w:p w:rsidR="00504A6A" w:rsidRPr="00B87A30" w:rsidRDefault="00504A6A" w:rsidP="00504A6A">
      <w:pPr>
        <w:spacing w:line="360" w:lineRule="auto"/>
        <w:jc w:val="both"/>
        <w:outlineLvl w:val="0"/>
        <w:rPr>
          <w:lang w:val="en-US"/>
        </w:rPr>
      </w:pPr>
      <w:r w:rsidRPr="00B87A30">
        <w:rPr>
          <w:lang w:val="en-US"/>
        </w:rPr>
        <w:t>RDKY3615, ORT6591</w:t>
      </w:r>
      <w:r w:rsidR="00DB47DB" w:rsidRPr="00B87A30">
        <w:rPr>
          <w:lang w:val="en-US"/>
        </w:rPr>
        <w:t>-1</w:t>
      </w:r>
      <w:r w:rsidRPr="00B87A30">
        <w:rPr>
          <w:lang w:val="en-US"/>
        </w:rPr>
        <w:t xml:space="preserve"> and </w:t>
      </w:r>
      <w:r w:rsidR="0098524C" w:rsidRPr="00B87A30">
        <w:rPr>
          <w:lang w:val="en-US"/>
        </w:rPr>
        <w:t>4 Can</w:t>
      </w:r>
      <w:r w:rsidR="008D6A9C" w:rsidRPr="00B87A30">
        <w:rPr>
          <w:lang w:val="en-US"/>
        </w:rPr>
        <w:t>/5FOA</w:t>
      </w:r>
      <w:r w:rsidR="0098524C" w:rsidRPr="00B87A30">
        <w:rPr>
          <w:lang w:val="en-US"/>
        </w:rPr>
        <w:t xml:space="preserve">-resistant clones </w:t>
      </w:r>
      <w:r w:rsidRPr="00B87A30">
        <w:rPr>
          <w:lang w:val="en-US"/>
        </w:rPr>
        <w:t xml:space="preserve">were analyzed by comparative genomic hybridization microarrays (CGH). Yeast cells grown in 5 ml YPD medium to the stationary phase were harvested and the pellet </w:t>
      </w:r>
      <w:proofErr w:type="spellStart"/>
      <w:r w:rsidRPr="00B87A30">
        <w:rPr>
          <w:lang w:val="en-US"/>
        </w:rPr>
        <w:t>resuspended</w:t>
      </w:r>
      <w:proofErr w:type="spellEnd"/>
      <w:r w:rsidRPr="00B87A30">
        <w:rPr>
          <w:lang w:val="en-US"/>
        </w:rPr>
        <w:t xml:space="preserve"> in 500 µl </w:t>
      </w:r>
      <w:proofErr w:type="spellStart"/>
      <w:r w:rsidRPr="00B87A30">
        <w:rPr>
          <w:lang w:val="en-US"/>
        </w:rPr>
        <w:t>sorbitol</w:t>
      </w:r>
      <w:proofErr w:type="spellEnd"/>
      <w:r w:rsidRPr="00B87A30">
        <w:rPr>
          <w:lang w:val="en-US"/>
        </w:rPr>
        <w:t xml:space="preserve"> solution (1 M </w:t>
      </w:r>
      <w:proofErr w:type="spellStart"/>
      <w:r w:rsidRPr="00B87A30">
        <w:rPr>
          <w:lang w:val="en-US"/>
        </w:rPr>
        <w:t>sorbitol</w:t>
      </w:r>
      <w:proofErr w:type="spellEnd"/>
      <w:r w:rsidRPr="00B87A30">
        <w:rPr>
          <w:lang w:val="en-US"/>
        </w:rPr>
        <w:t xml:space="preserve">, 0.1 M EDTA pH 8.0 and 0.3 mg/ml </w:t>
      </w:r>
      <w:proofErr w:type="spellStart"/>
      <w:r w:rsidRPr="00B87A30">
        <w:rPr>
          <w:lang w:val="en-US"/>
        </w:rPr>
        <w:t>Zymol</w:t>
      </w:r>
      <w:r w:rsidR="0098524C" w:rsidRPr="00B87A30">
        <w:rPr>
          <w:lang w:val="en-US"/>
        </w:rPr>
        <w:t>y</w:t>
      </w:r>
      <w:r w:rsidRPr="00B87A30">
        <w:rPr>
          <w:lang w:val="en-US"/>
        </w:rPr>
        <w:t>ase</w:t>
      </w:r>
      <w:proofErr w:type="spellEnd"/>
      <w:r w:rsidRPr="00B87A30">
        <w:rPr>
          <w:lang w:val="en-US"/>
        </w:rPr>
        <w:t xml:space="preserve"> 20-T). The sample solution was incubated at 37°C for 1 hour. Cells were then </w:t>
      </w:r>
      <w:proofErr w:type="spellStart"/>
      <w:r w:rsidRPr="00B87A30">
        <w:rPr>
          <w:lang w:val="en-US"/>
        </w:rPr>
        <w:t>resuspended</w:t>
      </w:r>
      <w:proofErr w:type="spellEnd"/>
      <w:r w:rsidRPr="00B87A30">
        <w:rPr>
          <w:lang w:val="en-US"/>
        </w:rPr>
        <w:t xml:space="preserve"> in 500 µl </w:t>
      </w:r>
      <w:proofErr w:type="spellStart"/>
      <w:r w:rsidRPr="00B87A30">
        <w:rPr>
          <w:lang w:val="en-US"/>
        </w:rPr>
        <w:t>Tris-HCl</w:t>
      </w:r>
      <w:proofErr w:type="spellEnd"/>
      <w:r w:rsidRPr="00B87A30">
        <w:rPr>
          <w:lang w:val="en-US"/>
        </w:rPr>
        <w:t xml:space="preserve"> buffer (50 </w:t>
      </w:r>
      <w:proofErr w:type="spellStart"/>
      <w:r w:rsidRPr="00B87A30">
        <w:rPr>
          <w:lang w:val="en-US"/>
        </w:rPr>
        <w:t>mM</w:t>
      </w:r>
      <w:proofErr w:type="spellEnd"/>
      <w:r w:rsidRPr="00B87A30">
        <w:rPr>
          <w:lang w:val="en-US"/>
        </w:rPr>
        <w:t xml:space="preserve"> </w:t>
      </w:r>
      <w:proofErr w:type="spellStart"/>
      <w:r w:rsidRPr="00B87A30">
        <w:rPr>
          <w:lang w:val="en-US"/>
        </w:rPr>
        <w:t>Tris-HCl</w:t>
      </w:r>
      <w:proofErr w:type="spellEnd"/>
      <w:r w:rsidRPr="00B87A30">
        <w:rPr>
          <w:lang w:val="en-US"/>
        </w:rPr>
        <w:t xml:space="preserve"> pH 8.0, 50 </w:t>
      </w:r>
      <w:proofErr w:type="spellStart"/>
      <w:r w:rsidRPr="00B87A30">
        <w:rPr>
          <w:lang w:val="en-US"/>
        </w:rPr>
        <w:t>mM</w:t>
      </w:r>
      <w:proofErr w:type="spellEnd"/>
      <w:r w:rsidRPr="00B87A30">
        <w:rPr>
          <w:lang w:val="en-US"/>
        </w:rPr>
        <w:t xml:space="preserve"> EDTA and 100 </w:t>
      </w:r>
      <w:proofErr w:type="spellStart"/>
      <w:r w:rsidRPr="00B87A30">
        <w:rPr>
          <w:lang w:val="en-US"/>
        </w:rPr>
        <w:t>mM</w:t>
      </w:r>
      <w:proofErr w:type="spellEnd"/>
      <w:r w:rsidRPr="00B87A30">
        <w:rPr>
          <w:lang w:val="en-US"/>
        </w:rPr>
        <w:t xml:space="preserve"> </w:t>
      </w:r>
      <w:proofErr w:type="spellStart"/>
      <w:r w:rsidRPr="00B87A30">
        <w:rPr>
          <w:lang w:val="en-US"/>
        </w:rPr>
        <w:t>NaCl</w:t>
      </w:r>
      <w:proofErr w:type="spellEnd"/>
      <w:r w:rsidRPr="00B87A30">
        <w:rPr>
          <w:lang w:val="en-US"/>
        </w:rPr>
        <w:t xml:space="preserve">) and genomic DNA was extracted </w:t>
      </w:r>
      <w:r w:rsidR="0098524C" w:rsidRPr="00B87A30">
        <w:rPr>
          <w:lang w:val="en-US"/>
        </w:rPr>
        <w:t>with</w:t>
      </w:r>
      <w:r w:rsidRPr="00B87A30">
        <w:rPr>
          <w:lang w:val="en-US"/>
        </w:rPr>
        <w:t xml:space="preserve"> phenol/chloroform/</w:t>
      </w:r>
      <w:proofErr w:type="spellStart"/>
      <w:r w:rsidRPr="00B87A30">
        <w:rPr>
          <w:lang w:val="en-US"/>
        </w:rPr>
        <w:t>isoamyl</w:t>
      </w:r>
      <w:proofErr w:type="spellEnd"/>
      <w:r w:rsidRPr="00B87A30">
        <w:rPr>
          <w:lang w:val="en-US"/>
        </w:rPr>
        <w:t xml:space="preserve"> alcohol (25:24:1). After </w:t>
      </w:r>
      <w:proofErr w:type="spellStart"/>
      <w:r w:rsidRPr="00B87A30">
        <w:rPr>
          <w:lang w:val="en-US"/>
        </w:rPr>
        <w:t>isopropanol</w:t>
      </w:r>
      <w:proofErr w:type="spellEnd"/>
      <w:r w:rsidRPr="00B87A30">
        <w:rPr>
          <w:lang w:val="en-US"/>
        </w:rPr>
        <w:t xml:space="preserve"> precipitation</w:t>
      </w:r>
      <w:r w:rsidR="0098524C" w:rsidRPr="00B87A30">
        <w:rPr>
          <w:lang w:val="en-US"/>
        </w:rPr>
        <w:t>,</w:t>
      </w:r>
      <w:r w:rsidRPr="00B87A30">
        <w:rPr>
          <w:lang w:val="en-US"/>
        </w:rPr>
        <w:t xml:space="preserve"> the </w:t>
      </w:r>
      <w:proofErr w:type="spellStart"/>
      <w:r w:rsidRPr="00B87A30">
        <w:rPr>
          <w:lang w:val="en-US"/>
        </w:rPr>
        <w:t>pelleted</w:t>
      </w:r>
      <w:proofErr w:type="spellEnd"/>
      <w:r w:rsidRPr="00B87A30">
        <w:rPr>
          <w:lang w:val="en-US"/>
        </w:rPr>
        <w:t xml:space="preserve"> genomic DNA was dissolved in 300 µl TE buffer. To denature RNA, 1 µl </w:t>
      </w:r>
      <w:proofErr w:type="spellStart"/>
      <w:r w:rsidRPr="00B87A30">
        <w:rPr>
          <w:lang w:val="en-US"/>
        </w:rPr>
        <w:t>DNase</w:t>
      </w:r>
      <w:proofErr w:type="spellEnd"/>
      <w:r w:rsidRPr="00B87A30">
        <w:rPr>
          <w:lang w:val="en-US"/>
        </w:rPr>
        <w:t xml:space="preserve">-free </w:t>
      </w:r>
      <w:proofErr w:type="spellStart"/>
      <w:r w:rsidRPr="00B87A30">
        <w:rPr>
          <w:lang w:val="en-US"/>
        </w:rPr>
        <w:t>RNase</w:t>
      </w:r>
      <w:proofErr w:type="spellEnd"/>
      <w:r w:rsidRPr="00B87A30">
        <w:rPr>
          <w:lang w:val="en-US"/>
        </w:rPr>
        <w:t xml:space="preserve"> A (30 mg/ml) was added to the sample solution and incubated at 37°C for 30 min. After </w:t>
      </w:r>
      <w:proofErr w:type="spellStart"/>
      <w:r w:rsidRPr="00B87A30">
        <w:rPr>
          <w:lang w:val="en-US"/>
        </w:rPr>
        <w:t>RNase</w:t>
      </w:r>
      <w:proofErr w:type="spellEnd"/>
      <w:r w:rsidRPr="00B87A30">
        <w:rPr>
          <w:lang w:val="en-US"/>
        </w:rPr>
        <w:t xml:space="preserve"> treatment ethanol precipitation was performed. </w:t>
      </w:r>
      <w:proofErr w:type="spellStart"/>
      <w:r w:rsidRPr="00B87A30">
        <w:rPr>
          <w:lang w:val="en-US"/>
        </w:rPr>
        <w:t>Pelleted</w:t>
      </w:r>
      <w:proofErr w:type="spellEnd"/>
      <w:r w:rsidRPr="00B87A30">
        <w:rPr>
          <w:lang w:val="en-US"/>
        </w:rPr>
        <w:t xml:space="preserve"> genomic DNA was dissolved in 100 µl TE buffer.</w:t>
      </w:r>
    </w:p>
    <w:p w:rsidR="00504A6A" w:rsidRPr="00B87A30" w:rsidRDefault="00504A6A" w:rsidP="00504A6A">
      <w:pPr>
        <w:spacing w:line="360" w:lineRule="auto"/>
        <w:jc w:val="both"/>
        <w:outlineLvl w:val="0"/>
        <w:rPr>
          <w:lang w:val="en-US"/>
        </w:rPr>
      </w:pPr>
      <w:r w:rsidRPr="00B87A30">
        <w:rPr>
          <w:lang w:val="en-US"/>
        </w:rPr>
        <w:t xml:space="preserve">For each labeling, 120 </w:t>
      </w:r>
      <w:proofErr w:type="spellStart"/>
      <w:r w:rsidRPr="00B87A30">
        <w:rPr>
          <w:lang w:val="en-US"/>
        </w:rPr>
        <w:t>ng</w:t>
      </w:r>
      <w:proofErr w:type="spellEnd"/>
      <w:r w:rsidRPr="00B87A30">
        <w:rPr>
          <w:lang w:val="en-US"/>
        </w:rPr>
        <w:t xml:space="preserve"> genomic DNA sample was digested by </w:t>
      </w:r>
      <w:proofErr w:type="spellStart"/>
      <w:r w:rsidRPr="00B87A30">
        <w:rPr>
          <w:i/>
          <w:lang w:val="en-US"/>
        </w:rPr>
        <w:t>Hinc</w:t>
      </w:r>
      <w:r w:rsidRPr="00B87A30">
        <w:rPr>
          <w:lang w:val="en-US"/>
        </w:rPr>
        <w:t>II</w:t>
      </w:r>
      <w:proofErr w:type="spellEnd"/>
      <w:r w:rsidRPr="00B87A30">
        <w:rPr>
          <w:lang w:val="en-US"/>
        </w:rPr>
        <w:t xml:space="preserve"> and </w:t>
      </w:r>
      <w:proofErr w:type="spellStart"/>
      <w:r w:rsidRPr="00B87A30">
        <w:rPr>
          <w:i/>
          <w:lang w:val="en-US"/>
        </w:rPr>
        <w:t>Ssp</w:t>
      </w:r>
      <w:r w:rsidRPr="00B87A30">
        <w:rPr>
          <w:lang w:val="en-US"/>
        </w:rPr>
        <w:t>I</w:t>
      </w:r>
      <w:proofErr w:type="spellEnd"/>
      <w:r w:rsidRPr="00B87A30">
        <w:rPr>
          <w:lang w:val="en-US"/>
        </w:rPr>
        <w:t xml:space="preserve"> (0.5 unit) to an average length of 0.5 to 2 kb. After purification with a </w:t>
      </w:r>
      <w:proofErr w:type="spellStart"/>
      <w:r w:rsidRPr="00B87A30">
        <w:rPr>
          <w:lang w:val="en-US"/>
        </w:rPr>
        <w:t>Nucleospin</w:t>
      </w:r>
      <w:proofErr w:type="spellEnd"/>
      <w:r w:rsidRPr="00B87A30">
        <w:rPr>
          <w:lang w:val="en-US"/>
        </w:rPr>
        <w:t xml:space="preserve"> Extract II kit (</w:t>
      </w:r>
      <w:proofErr w:type="spellStart"/>
      <w:r w:rsidRPr="00B87A30">
        <w:rPr>
          <w:lang w:val="en-US"/>
        </w:rPr>
        <w:t>Macherey</w:t>
      </w:r>
      <w:proofErr w:type="spellEnd"/>
      <w:r w:rsidRPr="00B87A30">
        <w:rPr>
          <w:lang w:val="en-US"/>
        </w:rPr>
        <w:t xml:space="preserve">-Nagel) the sheared genomic DNA was random-primer labeled using a </w:t>
      </w:r>
      <w:proofErr w:type="spellStart"/>
      <w:r w:rsidRPr="00B87A30">
        <w:rPr>
          <w:lang w:val="en-US"/>
        </w:rPr>
        <w:t>BioPrime</w:t>
      </w:r>
      <w:proofErr w:type="spellEnd"/>
      <w:r w:rsidRPr="00B87A30">
        <w:rPr>
          <w:lang w:val="en-US"/>
        </w:rPr>
        <w:t xml:space="preserve"> DNA labeling system (</w:t>
      </w:r>
      <w:proofErr w:type="spellStart"/>
      <w:r w:rsidRPr="00B87A30">
        <w:rPr>
          <w:lang w:val="en-US"/>
        </w:rPr>
        <w:t>Invitrogen</w:t>
      </w:r>
      <w:proofErr w:type="spellEnd"/>
      <w:r w:rsidRPr="00B87A30">
        <w:rPr>
          <w:lang w:val="en-US"/>
        </w:rPr>
        <w:t xml:space="preserve">), to include in a 50 µl reaction, </w:t>
      </w:r>
      <w:proofErr w:type="spellStart"/>
      <w:r w:rsidRPr="00B87A30">
        <w:rPr>
          <w:lang w:val="en-US"/>
        </w:rPr>
        <w:t>dATP</w:t>
      </w:r>
      <w:proofErr w:type="spellEnd"/>
      <w:r w:rsidRPr="00B87A30">
        <w:rPr>
          <w:lang w:val="en-US"/>
        </w:rPr>
        <w:t xml:space="preserve">, </w:t>
      </w:r>
      <w:proofErr w:type="spellStart"/>
      <w:r w:rsidRPr="00B87A30">
        <w:rPr>
          <w:lang w:val="en-US"/>
        </w:rPr>
        <w:t>dGTP</w:t>
      </w:r>
      <w:proofErr w:type="spellEnd"/>
      <w:r w:rsidRPr="00B87A30">
        <w:rPr>
          <w:lang w:val="en-US"/>
        </w:rPr>
        <w:t xml:space="preserve">, and </w:t>
      </w:r>
      <w:proofErr w:type="spellStart"/>
      <w:r w:rsidRPr="00B87A30">
        <w:rPr>
          <w:lang w:val="en-US"/>
        </w:rPr>
        <w:t>dCTP</w:t>
      </w:r>
      <w:proofErr w:type="spellEnd"/>
      <w:r w:rsidRPr="00B87A30">
        <w:rPr>
          <w:lang w:val="en-US"/>
        </w:rPr>
        <w:t xml:space="preserve"> (250 µM each), </w:t>
      </w:r>
      <w:proofErr w:type="spellStart"/>
      <w:r w:rsidRPr="00B87A30">
        <w:rPr>
          <w:lang w:val="en-US"/>
        </w:rPr>
        <w:t>dTTP</w:t>
      </w:r>
      <w:proofErr w:type="spellEnd"/>
      <w:r w:rsidRPr="00B87A30">
        <w:rPr>
          <w:lang w:val="en-US"/>
        </w:rPr>
        <w:t xml:space="preserve"> (110 µM) and amino-</w:t>
      </w:r>
      <w:proofErr w:type="spellStart"/>
      <w:r w:rsidRPr="00B87A30">
        <w:rPr>
          <w:lang w:val="en-US"/>
        </w:rPr>
        <w:t>allyl</w:t>
      </w:r>
      <w:proofErr w:type="spellEnd"/>
      <w:r w:rsidRPr="00B87A30">
        <w:rPr>
          <w:lang w:val="en-US"/>
        </w:rPr>
        <w:t xml:space="preserve"> </w:t>
      </w:r>
      <w:proofErr w:type="spellStart"/>
      <w:r w:rsidRPr="00B87A30">
        <w:rPr>
          <w:lang w:val="en-US"/>
        </w:rPr>
        <w:t>dUTP</w:t>
      </w:r>
      <w:proofErr w:type="spellEnd"/>
      <w:r w:rsidRPr="00B87A30">
        <w:rPr>
          <w:lang w:val="en-US"/>
        </w:rPr>
        <w:t xml:space="preserve"> (150 µM). The labeled products were purified and concentrated using a </w:t>
      </w:r>
      <w:proofErr w:type="spellStart"/>
      <w:r w:rsidRPr="00B87A30">
        <w:rPr>
          <w:lang w:val="en-US"/>
        </w:rPr>
        <w:t>Microcon</w:t>
      </w:r>
      <w:proofErr w:type="spellEnd"/>
      <w:r w:rsidRPr="00B87A30">
        <w:rPr>
          <w:lang w:val="en-US"/>
        </w:rPr>
        <w:t xml:space="preserve"> YM-30 filter (</w:t>
      </w:r>
      <w:proofErr w:type="spellStart"/>
      <w:r w:rsidRPr="00B87A30">
        <w:rPr>
          <w:lang w:val="en-US"/>
        </w:rPr>
        <w:t>Amicon</w:t>
      </w:r>
      <w:proofErr w:type="spellEnd"/>
      <w:r w:rsidRPr="00B87A30">
        <w:rPr>
          <w:lang w:val="en-US"/>
        </w:rPr>
        <w:t xml:space="preserve"> Millipore). Cy3 and Cy5 (</w:t>
      </w:r>
      <w:proofErr w:type="spellStart"/>
      <w:r w:rsidRPr="00B87A30">
        <w:rPr>
          <w:lang w:val="en-US"/>
        </w:rPr>
        <w:t>Amersham</w:t>
      </w:r>
      <w:proofErr w:type="spellEnd"/>
      <w:r w:rsidRPr="00B87A30">
        <w:rPr>
          <w:lang w:val="en-US"/>
        </w:rPr>
        <w:t xml:space="preserve">, GE) were then separately coupled to the appropriate DNA (4 µg) with 50 </w:t>
      </w:r>
      <w:proofErr w:type="spellStart"/>
      <w:r w:rsidRPr="00B87A30">
        <w:rPr>
          <w:lang w:val="en-US"/>
        </w:rPr>
        <w:t>mM</w:t>
      </w:r>
      <w:proofErr w:type="spellEnd"/>
      <w:r w:rsidRPr="00B87A30">
        <w:rPr>
          <w:lang w:val="en-US"/>
        </w:rPr>
        <w:t xml:space="preserve"> Na</w:t>
      </w:r>
      <w:r w:rsidRPr="00B87A30">
        <w:rPr>
          <w:vertAlign w:val="subscript"/>
          <w:lang w:val="en-US"/>
        </w:rPr>
        <w:t>2</w:t>
      </w:r>
      <w:r w:rsidRPr="00B87A30">
        <w:rPr>
          <w:lang w:val="en-US"/>
        </w:rPr>
        <w:t>CO</w:t>
      </w:r>
      <w:r w:rsidRPr="00B87A30">
        <w:rPr>
          <w:vertAlign w:val="subscript"/>
          <w:lang w:val="en-US"/>
        </w:rPr>
        <w:t>3</w:t>
      </w:r>
      <w:r w:rsidRPr="00B87A30">
        <w:rPr>
          <w:lang w:val="en-US"/>
        </w:rPr>
        <w:t xml:space="preserve"> pH 9.0 for 1 hour in the dark. The appropriate Cy3- and Cy5-labelled samples were pooled and purified using the </w:t>
      </w:r>
      <w:proofErr w:type="spellStart"/>
      <w:r w:rsidRPr="00B87A30">
        <w:rPr>
          <w:lang w:val="en-US"/>
        </w:rPr>
        <w:t>Nucleospin</w:t>
      </w:r>
      <w:proofErr w:type="spellEnd"/>
      <w:r w:rsidRPr="00B87A30">
        <w:rPr>
          <w:lang w:val="en-US"/>
        </w:rPr>
        <w:t xml:space="preserve"> Extract II kit (</w:t>
      </w:r>
      <w:proofErr w:type="spellStart"/>
      <w:r w:rsidRPr="00B87A30">
        <w:rPr>
          <w:lang w:val="en-US"/>
        </w:rPr>
        <w:t>Macherey</w:t>
      </w:r>
      <w:proofErr w:type="spellEnd"/>
      <w:r w:rsidRPr="00B87A30">
        <w:rPr>
          <w:lang w:val="en-US"/>
        </w:rPr>
        <w:t xml:space="preserve">-Nagel). DNA samples were hybridized on an Agilent 44k yeast whole genome </w:t>
      </w:r>
      <w:proofErr w:type="spellStart"/>
      <w:r w:rsidRPr="00B87A30">
        <w:rPr>
          <w:lang w:val="en-US"/>
        </w:rPr>
        <w:t>oligonucleotide</w:t>
      </w:r>
      <w:proofErr w:type="spellEnd"/>
      <w:r w:rsidRPr="00B87A30">
        <w:rPr>
          <w:lang w:val="en-US"/>
        </w:rPr>
        <w:t xml:space="preserve"> array for 16h at 65°C in the 1 x hybridization buffer supplied by Agilent. Slides were washed as described in </w:t>
      </w:r>
      <w:r w:rsidR="004C5D93" w:rsidRPr="00B87A30">
        <w:fldChar w:fldCharType="begin">
          <w:fldData xml:space="preserve">PEVuZE5vdGU+PENpdGU+PEF1dGhvcj5CdWhsZXI8L0F1dGhvcj48WWVhcj4yMDA3PC9ZZWFyPjxS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</w:fldData>
        </w:fldChar>
      </w:r>
      <w:r w:rsidR="00D15768" w:rsidRPr="00B87A30">
        <w:instrText xml:space="preserve"> ADDIN EN.CITE </w:instrText>
      </w:r>
      <w:r w:rsidR="004C5D93" w:rsidRPr="00B87A30">
        <w:fldChar w:fldCharType="begin">
          <w:fldData xml:space="preserve">PEVuZE5vdGU+PENpdGU+PEF1dGhvcj5CdWhsZXI8L0F1dGhvcj48WWVhcj4yMDA3PC9ZZWFyPjxS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</w:fldData>
        </w:fldChar>
      </w:r>
      <w:r w:rsidR="00D15768" w:rsidRPr="00B87A30">
        <w:instrText xml:space="preserve"> ADDIN EN.CITE.DATA </w:instrText>
      </w:r>
      <w:r w:rsidR="004C5D93" w:rsidRPr="00B87A30">
        <w:fldChar w:fldCharType="end"/>
      </w:r>
      <w:r w:rsidR="004C5D93" w:rsidRPr="00B87A30">
        <w:fldChar w:fldCharType="separate"/>
      </w:r>
      <w:r w:rsidR="00D15768" w:rsidRPr="00B87A30">
        <w:rPr>
          <w:noProof/>
        </w:rPr>
        <w:t>[</w:t>
      </w:r>
      <w:hyperlink w:anchor="_ENREF_2" w:tooltip="Buhler, 2007 #1004" w:history="1">
        <w:r w:rsidR="00BC00E0" w:rsidRPr="00B87A30">
          <w:rPr>
            <w:noProof/>
          </w:rPr>
          <w:t>2</w:t>
        </w:r>
      </w:hyperlink>
      <w:r w:rsidR="00D15768" w:rsidRPr="00B87A30">
        <w:rPr>
          <w:noProof/>
        </w:rPr>
        <w:t>]</w:t>
      </w:r>
      <w:r w:rsidR="004C5D93" w:rsidRPr="00B87A30">
        <w:fldChar w:fldCharType="end"/>
      </w:r>
      <w:r w:rsidRPr="00B87A30">
        <w:rPr>
          <w:lang w:val="en-US"/>
        </w:rPr>
        <w:t xml:space="preserve">. Microarray images were acquired using a </w:t>
      </w:r>
      <w:proofErr w:type="spellStart"/>
      <w:r w:rsidRPr="00B87A30">
        <w:rPr>
          <w:lang w:val="en-US"/>
        </w:rPr>
        <w:t>GenePix</w:t>
      </w:r>
      <w:proofErr w:type="spellEnd"/>
      <w:r w:rsidRPr="00B87A30">
        <w:rPr>
          <w:lang w:val="en-US"/>
        </w:rPr>
        <w:t xml:space="preserve"> 4000 scanner and data were quantified using </w:t>
      </w:r>
      <w:proofErr w:type="spellStart"/>
      <w:r w:rsidRPr="00B87A30">
        <w:rPr>
          <w:lang w:val="en-US"/>
        </w:rPr>
        <w:t>GenePix</w:t>
      </w:r>
      <w:proofErr w:type="spellEnd"/>
      <w:r w:rsidRPr="00B87A30">
        <w:rPr>
          <w:lang w:val="en-US"/>
        </w:rPr>
        <w:t xml:space="preserve"> Pro 5.1 software (Axon Instruments). For all microarray experiments, the median local background intensity was subtracted from the median spot intensity before calculating for each spot the intensity ratio (Cy5/Cy3 median intensity).</w:t>
      </w:r>
      <w:r w:rsidR="007307A4" w:rsidRPr="00B87A30">
        <w:rPr>
          <w:lang w:val="en-US"/>
        </w:rPr>
        <w:t xml:space="preserve"> The log2 of this ratio is plotted in Figure S5B.</w:t>
      </w:r>
    </w:p>
    <w:p w:rsidR="001A65B6" w:rsidRPr="00B87A30" w:rsidRDefault="001A65B6" w:rsidP="004E0A23">
      <w:pPr>
        <w:spacing w:line="360" w:lineRule="auto"/>
        <w:jc w:val="both"/>
        <w:outlineLvl w:val="0"/>
        <w:rPr>
          <w:b/>
          <w:i/>
          <w:lang w:val="en-US"/>
        </w:rPr>
      </w:pPr>
      <w:r w:rsidRPr="00B87A30">
        <w:rPr>
          <w:b/>
          <w:lang w:val="en-US"/>
        </w:rPr>
        <w:t xml:space="preserve">Sequencing of </w:t>
      </w:r>
      <w:r w:rsidRPr="00B87A30">
        <w:rPr>
          <w:b/>
          <w:i/>
          <w:lang w:val="en-US"/>
        </w:rPr>
        <w:t xml:space="preserve">CAN1 </w:t>
      </w:r>
      <w:r w:rsidRPr="00B87A30">
        <w:rPr>
          <w:b/>
          <w:lang w:val="en-US"/>
        </w:rPr>
        <w:t xml:space="preserve">and </w:t>
      </w:r>
      <w:r w:rsidRPr="00B87A30">
        <w:rPr>
          <w:b/>
          <w:i/>
          <w:lang w:val="en-US"/>
        </w:rPr>
        <w:t>URA3</w:t>
      </w:r>
    </w:p>
    <w:p w:rsidR="00504A6A" w:rsidRPr="001A65B6" w:rsidRDefault="001A65B6" w:rsidP="004E0A23">
      <w:pPr>
        <w:spacing w:line="360" w:lineRule="auto"/>
        <w:jc w:val="both"/>
        <w:outlineLvl w:val="0"/>
        <w:rPr>
          <w:u w:val="single"/>
          <w:lang w:val="en-US"/>
        </w:rPr>
      </w:pPr>
      <w:r w:rsidRPr="00B87A30">
        <w:rPr>
          <w:i/>
          <w:lang w:val="en-US"/>
        </w:rPr>
        <w:t>CAN1</w:t>
      </w:r>
      <w:r w:rsidRPr="00B87A30">
        <w:rPr>
          <w:lang w:val="en-US"/>
        </w:rPr>
        <w:t xml:space="preserve"> has been PCR amplified with primers CAN1extF2 and CAN1extR2 and sequenced using these primers and CAN1intF2, CAN1intF3, CAN1intR2 and CAN1intR3 </w:t>
      </w:r>
      <w:r w:rsidR="004C5D93" w:rsidRPr="00B87A30">
        <w:rPr>
          <w:lang w:val="en-US"/>
        </w:rPr>
        <w:fldChar w:fldCharType="begin"/>
      </w:r>
      <w:r w:rsidR="001D6F6C" w:rsidRPr="00B87A30">
        <w:rPr>
          <w:lang w:val="en-US"/>
        </w:rPr>
        <w:instrText xml:space="preserve"> ADDIN EN.CITE &lt;EndNote&gt;&lt;Cite&gt;&lt;Author&gt;Lang&lt;/Author&gt;&lt;Year&gt;2008&lt;/Year&gt;&lt;RecNum&gt;1006&lt;/RecNum&gt;&lt;DisplayText&gt;[3]&lt;/DisplayText&gt;&lt;record&gt;&lt;rec-number&gt;1006&lt;/rec-number&gt;&lt;foreign-keys&gt;&lt;key app="EN" db-id="rsst90xxj2zza5epaa2x2z9jpxtp555zv52f"&gt;1006&lt;/key&gt;&lt;/foreign-keys&gt;&lt;ref-type name="Journal Article"&gt;17&lt;/ref-type&gt;&lt;contributors&gt;&lt;authors&gt;&lt;author&gt;Lang, G. I.&lt;/author&gt;&lt;author&gt;Murray, A. W.&lt;/author&gt;&lt;/authors&gt;&lt;/contributors&gt;&lt;auth-address&gt;Department of Molecular and Cellular Biology, Harvard University, Cambridge, Massachusetts 02138, USA.&lt;/auth-address&gt;&lt;titles&gt;&lt;title&gt;Estimating the per-base-pair mutation rate in the yeast Saccharomyces cerevisiae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67-82&lt;/pages&gt;&lt;volume&gt;178&lt;/volume&gt;&lt;number&gt;1&lt;/number&gt;&lt;edition&gt;2008/01/19&lt;/edition&gt;&lt;keywords&gt;&lt;keyword&gt;Amino Acid Sequence&lt;/keyword&gt;&lt;keyword&gt;Base Pairing/*genetics&lt;/keyword&gt;&lt;keyword&gt;Base Sequence&lt;/keyword&gt;&lt;keyword&gt;DNA Mutational Analysis&lt;/keyword&gt;&lt;keyword&gt;Models, Genetic&lt;/keyword&gt;&lt;keyword&gt;Molecular Sequence Data&lt;/keyword&gt;&lt;keyword&gt;*Mutagenesis&lt;/keyword&gt;&lt;keyword&gt;Mutation/*genetics&lt;/keyword&gt;&lt;keyword&gt;Phenotype&lt;/keyword&gt;&lt;keyword&gt;Saccharomyces cerevisiae/*genetics&lt;/keyword&gt;&lt;keyword&gt;Saccharomyces cerevisiae Proteins/chemistry/genetics&lt;/keyword&gt;&lt;/keywords&gt;&lt;dates&gt;&lt;year&gt;2008&lt;/year&gt;&lt;pub-dates&gt;&lt;date&gt;Jan&lt;/date&gt;&lt;/pub-dates&gt;&lt;/dates&gt;&lt;isbn&gt;0016-6731 (Print)&amp;#xD;0016-6731 (Linking)&lt;/isbn&gt;&lt;accession-num&gt;18202359&lt;/accession-num&gt;&lt;work-type&gt;Research Support, N.I.H., Extramural&lt;/work-type&gt;&lt;urls&gt;&lt;related-urls&gt;&lt;url&gt;http://www.ncbi.nlm.nih.gov/pubmed/18202359&lt;/url&gt;&lt;/related-urls&gt;&lt;/urls&gt;&lt;custom2&gt;2206112&lt;/custom2&gt;&lt;electronic-resource-num&gt;10.1534/genetics.107.071506&lt;/electronic-resource-num&gt;&lt;language&gt;eng&lt;/language&gt;&lt;/record&gt;&lt;/Cite&gt;&lt;/EndNote&gt;</w:instrText>
      </w:r>
      <w:r w:rsidR="004C5D93" w:rsidRPr="00B87A30">
        <w:rPr>
          <w:lang w:val="en-US"/>
        </w:rPr>
        <w:fldChar w:fldCharType="separate"/>
      </w:r>
      <w:r w:rsidR="001D6F6C" w:rsidRPr="00B87A30">
        <w:rPr>
          <w:noProof/>
          <w:lang w:val="en-US"/>
        </w:rPr>
        <w:t>[</w:t>
      </w:r>
      <w:hyperlink w:anchor="_ENREF_3" w:tooltip="Lang, 2008 #1006" w:history="1">
        <w:r w:rsidR="00BC00E0" w:rsidRPr="00B87A30">
          <w:rPr>
            <w:noProof/>
            <w:lang w:val="en-US"/>
          </w:rPr>
          <w:t>3</w:t>
        </w:r>
      </w:hyperlink>
      <w:r w:rsidR="001D6F6C" w:rsidRPr="00B87A30">
        <w:rPr>
          <w:noProof/>
          <w:lang w:val="en-US"/>
        </w:rPr>
        <w:t>]</w:t>
      </w:r>
      <w:r w:rsidR="004C5D93" w:rsidRPr="00B87A30">
        <w:rPr>
          <w:lang w:val="en-US"/>
        </w:rPr>
        <w:fldChar w:fldCharType="end"/>
      </w:r>
      <w:r w:rsidRPr="00B87A30">
        <w:rPr>
          <w:lang w:val="en-US"/>
        </w:rPr>
        <w:t xml:space="preserve">. </w:t>
      </w:r>
      <w:r w:rsidRPr="00B87A30">
        <w:rPr>
          <w:i/>
          <w:lang w:val="en-US"/>
        </w:rPr>
        <w:t>URA3</w:t>
      </w:r>
      <w:r w:rsidRPr="00B87A30">
        <w:rPr>
          <w:lang w:val="en-US"/>
        </w:rPr>
        <w:t xml:space="preserve"> has been PCR amplified with primers URA3extF and URA3extR, and sequenced using these primers and URA3intF2 and URA3intR2 </w:t>
      </w:r>
      <w:r w:rsidR="004C5D93" w:rsidRPr="00B87A30">
        <w:rPr>
          <w:lang w:val="en-US"/>
        </w:rPr>
        <w:fldChar w:fldCharType="begin"/>
      </w:r>
      <w:r w:rsidR="001D6F6C" w:rsidRPr="00B87A30">
        <w:rPr>
          <w:lang w:val="en-US"/>
        </w:rPr>
        <w:instrText xml:space="preserve"> ADDIN EN.CITE &lt;EndNote&gt;&lt;Cite&gt;&lt;Author&gt;Lang&lt;/Author&gt;&lt;Year&gt;2008&lt;/Year&gt;&lt;RecNum&gt;1006&lt;/RecNum&gt;&lt;DisplayText&gt;[3]&lt;/DisplayText&gt;&lt;record&gt;&lt;rec-number&gt;1006&lt;/rec-number&gt;&lt;foreign-keys&gt;&lt;key app="EN" db-id="rsst90xxj2zza5epaa2x2z9jpxtp555zv52f"&gt;1006&lt;/key&gt;&lt;/foreign-keys&gt;&lt;ref-type name="Journal Article"&gt;17&lt;/ref-type&gt;&lt;contributors&gt;&lt;authors&gt;&lt;author&gt;Lang, G. I.&lt;/author&gt;&lt;author&gt;Murray, A. W.&lt;/author&gt;&lt;/authors&gt;&lt;/contributors&gt;&lt;auth-address&gt;Department of Molecular and Cellular Biology, Harvard University, Cambridge, Massachusetts 02138, USA.&lt;/auth-address&gt;&lt;titles&gt;&lt;title&gt;Estimating the per-base-pair mutation rate in the yeast Saccharomyces cerevisiae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67-82&lt;/pages&gt;&lt;volume&gt;178&lt;/volume&gt;&lt;number&gt;1&lt;/number&gt;&lt;edition&gt;2008/01/19&lt;/edition&gt;&lt;keywords&gt;&lt;keyword&gt;Amino Acid Sequence&lt;/keyword&gt;&lt;keyword&gt;Base Pairing/*genetics&lt;/keyword&gt;&lt;keyword&gt;Base Sequence&lt;/keyword&gt;&lt;keyword&gt;DNA Mutational Analysis&lt;/keyword&gt;&lt;keyword&gt;Models, Genetic&lt;/keyword&gt;&lt;keyword&gt;Molecular Sequence Data&lt;/keyword&gt;&lt;keyword&gt;*Mutagenesis&lt;/keyword&gt;&lt;keyword&gt;Mutation/*genetics&lt;/keyword&gt;&lt;keyword&gt;Phenotype&lt;/keyword&gt;&lt;keyword&gt;Saccharomyces cerevisiae/*genetics&lt;/keyword&gt;&lt;keyword&gt;Saccharomyces cerevisiae Proteins/chemistry/genetics&lt;/keyword&gt;&lt;/keywords&gt;&lt;dates&gt;&lt;year&gt;2008&lt;/year&gt;&lt;pub-dates&gt;&lt;date&gt;Jan&lt;/date&gt;&lt;/pub-dates&gt;&lt;/dates&gt;&lt;isbn&gt;0016-6731 (Print)&amp;#xD;0016-6731 (Linking)&lt;/isbn&gt;&lt;accession-num&gt;18202359&lt;/accession-num&gt;&lt;work-type&gt;Research Support, N.I.H., Extramural&lt;/work-type&gt;&lt;urls&gt;&lt;related-urls&gt;&lt;url&gt;http://www.ncbi.nlm.nih.gov/pubmed/18202359&lt;/url&gt;&lt;/related-urls&gt;&lt;/urls&gt;&lt;custom2&gt;2206112&lt;/custom2&gt;&lt;electronic-resource-num&gt;10.1534/genetics.107.071506&lt;/electronic-resource-num&gt;&lt;language&gt;eng&lt;/language&gt;&lt;/record&gt;&lt;/Cite&gt;&lt;/EndNote&gt;</w:instrText>
      </w:r>
      <w:r w:rsidR="004C5D93" w:rsidRPr="00B87A30">
        <w:rPr>
          <w:lang w:val="en-US"/>
        </w:rPr>
        <w:fldChar w:fldCharType="separate"/>
      </w:r>
      <w:r w:rsidR="001D6F6C" w:rsidRPr="00B87A30">
        <w:rPr>
          <w:noProof/>
          <w:lang w:val="en-US"/>
        </w:rPr>
        <w:t>[</w:t>
      </w:r>
      <w:hyperlink w:anchor="_ENREF_3" w:tooltip="Lang, 2008 #1006" w:history="1">
        <w:r w:rsidR="00BC00E0" w:rsidRPr="00B87A30">
          <w:rPr>
            <w:noProof/>
            <w:lang w:val="en-US"/>
          </w:rPr>
          <w:t>3</w:t>
        </w:r>
      </w:hyperlink>
      <w:r w:rsidR="001D6F6C" w:rsidRPr="00B87A30">
        <w:rPr>
          <w:noProof/>
          <w:lang w:val="en-US"/>
        </w:rPr>
        <w:t>]</w:t>
      </w:r>
      <w:r w:rsidR="004C5D93" w:rsidRPr="00B87A30">
        <w:rPr>
          <w:lang w:val="en-US"/>
        </w:rPr>
        <w:fldChar w:fldCharType="end"/>
      </w:r>
      <w:r w:rsidRPr="00B87A30">
        <w:rPr>
          <w:lang w:val="en-US"/>
        </w:rPr>
        <w:t xml:space="preserve">. Sequences were analyzed with </w:t>
      </w:r>
      <w:proofErr w:type="spellStart"/>
      <w:r w:rsidRPr="00B87A30">
        <w:rPr>
          <w:lang w:val="en-US"/>
        </w:rPr>
        <w:t>SeqScape</w:t>
      </w:r>
      <w:proofErr w:type="spellEnd"/>
      <w:r w:rsidRPr="00B87A30">
        <w:rPr>
          <w:lang w:val="en-US"/>
        </w:rPr>
        <w:t xml:space="preserve"> 2.5 (Applied </w:t>
      </w:r>
      <w:proofErr w:type="spellStart"/>
      <w:r w:rsidRPr="00B87A30">
        <w:rPr>
          <w:lang w:val="en-US"/>
        </w:rPr>
        <w:t>Biosystems</w:t>
      </w:r>
      <w:proofErr w:type="spellEnd"/>
      <w:r w:rsidRPr="00B87A30">
        <w:rPr>
          <w:lang w:val="en-US"/>
        </w:rPr>
        <w:t>).</w:t>
      </w:r>
      <w:r>
        <w:rPr>
          <w:lang w:val="en-US"/>
        </w:rPr>
        <w:t xml:space="preserve"> </w:t>
      </w:r>
    </w:p>
    <w:p w:rsidR="00BC00E0" w:rsidRDefault="008F1C3C" w:rsidP="003F40F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245E9D" w:rsidRPr="00BC00E0" w:rsidRDefault="00A76B8A" w:rsidP="003F40F5">
      <w:pPr>
        <w:spacing w:line="360" w:lineRule="auto"/>
        <w:jc w:val="both"/>
        <w:rPr>
          <w:lang w:val="en-US"/>
        </w:rPr>
      </w:pPr>
      <w:r w:rsidRPr="00A76B8A">
        <w:rPr>
          <w:b/>
          <w:sz w:val="26"/>
          <w:lang w:val="en-US"/>
        </w:rPr>
        <w:t>Supplementary Reference</w:t>
      </w:r>
      <w:r w:rsidR="007D5A3E">
        <w:rPr>
          <w:b/>
          <w:sz w:val="26"/>
          <w:lang w:val="en-US"/>
        </w:rPr>
        <w:t>s</w:t>
      </w:r>
    </w:p>
    <w:p w:rsidR="00BC00E0" w:rsidRPr="00BC00E0" w:rsidRDefault="004C5D93" w:rsidP="00BC00E0">
      <w:pPr>
        <w:spacing w:after="0" w:line="240" w:lineRule="auto"/>
        <w:ind w:left="720" w:hanging="720"/>
        <w:jc w:val="both"/>
        <w:rPr>
          <w:noProof/>
          <w:lang w:val="en-US"/>
        </w:rPr>
      </w:pPr>
      <w:r w:rsidRPr="004C5D93">
        <w:rPr>
          <w:sz w:val="26"/>
          <w:lang w:val="en-US"/>
        </w:rPr>
        <w:fldChar w:fldCharType="begin"/>
      </w:r>
      <w:r w:rsidR="00245E9D" w:rsidRPr="004F5FB9">
        <w:rPr>
          <w:sz w:val="26"/>
          <w:lang w:val="en-US"/>
        </w:rPr>
        <w:instrText xml:space="preserve"> ADDIN EN.REFLIST </w:instrText>
      </w:r>
      <w:r w:rsidRPr="004C5D93">
        <w:rPr>
          <w:sz w:val="26"/>
          <w:lang w:val="en-US"/>
        </w:rPr>
        <w:fldChar w:fldCharType="separate"/>
      </w:r>
      <w:bookmarkStart w:id="0" w:name="_ENREF_1"/>
      <w:r w:rsidR="00BC00E0" w:rsidRPr="00BC00E0">
        <w:rPr>
          <w:noProof/>
          <w:lang w:val="en-US"/>
        </w:rPr>
        <w:t>1. Murakami H, Borde V, Nicolas A, Keeney S (2009) Gel electrophoresis assays for analyzing DNA double-strand breaks in Saccharomyces cerevisiae at various spatial resolutions. Methods Mol Biol 557: 117-142.</w:t>
      </w:r>
      <w:bookmarkEnd w:id="0"/>
    </w:p>
    <w:p w:rsidR="00BC00E0" w:rsidRPr="00BC00E0" w:rsidRDefault="00BC00E0" w:rsidP="00BC00E0">
      <w:pPr>
        <w:spacing w:after="0" w:line="240" w:lineRule="auto"/>
        <w:ind w:left="720" w:hanging="720"/>
        <w:jc w:val="both"/>
        <w:rPr>
          <w:noProof/>
          <w:lang w:val="en-US"/>
        </w:rPr>
      </w:pPr>
      <w:bookmarkStart w:id="1" w:name="_ENREF_2"/>
      <w:r w:rsidRPr="00BC00E0">
        <w:rPr>
          <w:noProof/>
          <w:lang w:val="en-US"/>
        </w:rPr>
        <w:t>2. Buhler C, Borde V, Lichten M (2007) Mapping meiotic single-strand DNA reveals a new landscape of DNA double-strand breaks in Saccharomyces cerevisiae. PLoS Biol 5: e324.</w:t>
      </w:r>
      <w:bookmarkEnd w:id="1"/>
    </w:p>
    <w:p w:rsidR="00BC00E0" w:rsidRPr="00BC00E0" w:rsidRDefault="00BC00E0" w:rsidP="00BC00E0">
      <w:pPr>
        <w:spacing w:line="240" w:lineRule="auto"/>
        <w:ind w:left="720" w:hanging="720"/>
        <w:jc w:val="both"/>
        <w:rPr>
          <w:noProof/>
          <w:lang w:val="en-US"/>
        </w:rPr>
      </w:pPr>
      <w:bookmarkStart w:id="2" w:name="_ENREF_3"/>
      <w:r w:rsidRPr="00BC00E0">
        <w:rPr>
          <w:noProof/>
          <w:lang w:val="en-US"/>
        </w:rPr>
        <w:t>3. Lang GI, Murray AW (2008) Estimating the per-base-pair mutation rate in the yeast Saccharomyces cerevisiae. Genetics 178: 67-82.</w:t>
      </w:r>
      <w:bookmarkEnd w:id="2"/>
    </w:p>
    <w:p w:rsidR="00BC00E0" w:rsidRDefault="00BC00E0" w:rsidP="00BC00E0">
      <w:pPr>
        <w:spacing w:line="240" w:lineRule="auto"/>
        <w:jc w:val="both"/>
        <w:rPr>
          <w:noProof/>
          <w:lang w:val="en-US"/>
        </w:rPr>
      </w:pPr>
    </w:p>
    <w:p w:rsidR="00932B2F" w:rsidRPr="003F40F5" w:rsidRDefault="004C5D93" w:rsidP="003F40F5">
      <w:pPr>
        <w:spacing w:line="360" w:lineRule="auto"/>
        <w:jc w:val="both"/>
        <w:rPr>
          <w:lang w:val="en-US"/>
        </w:rPr>
      </w:pPr>
      <w:r w:rsidRPr="004F5FB9">
        <w:rPr>
          <w:lang w:val="en-US"/>
        </w:rPr>
        <w:fldChar w:fldCharType="end"/>
      </w:r>
    </w:p>
    <w:sectPr w:rsidR="00932B2F" w:rsidRPr="003F40F5" w:rsidSect="00932B2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4E0A23"/>
    <w:rsid w:val="000625F6"/>
    <w:rsid w:val="000728EB"/>
    <w:rsid w:val="001009EA"/>
    <w:rsid w:val="001110C8"/>
    <w:rsid w:val="0013005A"/>
    <w:rsid w:val="00154345"/>
    <w:rsid w:val="001A65B6"/>
    <w:rsid w:val="001C7683"/>
    <w:rsid w:val="001D5B60"/>
    <w:rsid w:val="001D6F6C"/>
    <w:rsid w:val="00245E9D"/>
    <w:rsid w:val="00275F12"/>
    <w:rsid w:val="00276B8A"/>
    <w:rsid w:val="00296ED7"/>
    <w:rsid w:val="00311133"/>
    <w:rsid w:val="003813F7"/>
    <w:rsid w:val="00390663"/>
    <w:rsid w:val="00392F71"/>
    <w:rsid w:val="003F40F5"/>
    <w:rsid w:val="00411BE8"/>
    <w:rsid w:val="00486037"/>
    <w:rsid w:val="004A7717"/>
    <w:rsid w:val="004C28C8"/>
    <w:rsid w:val="004C5D93"/>
    <w:rsid w:val="004C5F8D"/>
    <w:rsid w:val="004D2CBE"/>
    <w:rsid w:val="004E0A23"/>
    <w:rsid w:val="004F5FB9"/>
    <w:rsid w:val="00504A6A"/>
    <w:rsid w:val="0057048D"/>
    <w:rsid w:val="005A0F72"/>
    <w:rsid w:val="005C2220"/>
    <w:rsid w:val="005E5CA8"/>
    <w:rsid w:val="00616CE6"/>
    <w:rsid w:val="00623DA6"/>
    <w:rsid w:val="00690D68"/>
    <w:rsid w:val="00694D33"/>
    <w:rsid w:val="006F039C"/>
    <w:rsid w:val="007307A4"/>
    <w:rsid w:val="007437F9"/>
    <w:rsid w:val="00756F16"/>
    <w:rsid w:val="00775135"/>
    <w:rsid w:val="007A564A"/>
    <w:rsid w:val="007B6689"/>
    <w:rsid w:val="007D1868"/>
    <w:rsid w:val="007D5A3E"/>
    <w:rsid w:val="007D742F"/>
    <w:rsid w:val="008126EF"/>
    <w:rsid w:val="00885A98"/>
    <w:rsid w:val="008A4F0E"/>
    <w:rsid w:val="008B54FB"/>
    <w:rsid w:val="008D2713"/>
    <w:rsid w:val="008D6A9C"/>
    <w:rsid w:val="008F1C3C"/>
    <w:rsid w:val="009104F3"/>
    <w:rsid w:val="00932B2F"/>
    <w:rsid w:val="009615C8"/>
    <w:rsid w:val="0098524C"/>
    <w:rsid w:val="009D56AF"/>
    <w:rsid w:val="00A00552"/>
    <w:rsid w:val="00A466AB"/>
    <w:rsid w:val="00A6402C"/>
    <w:rsid w:val="00A7243A"/>
    <w:rsid w:val="00A76B8A"/>
    <w:rsid w:val="00AA6FFD"/>
    <w:rsid w:val="00AC4454"/>
    <w:rsid w:val="00AC7C02"/>
    <w:rsid w:val="00B565FA"/>
    <w:rsid w:val="00B87A30"/>
    <w:rsid w:val="00BC00E0"/>
    <w:rsid w:val="00BC3BC2"/>
    <w:rsid w:val="00C077A7"/>
    <w:rsid w:val="00C1093C"/>
    <w:rsid w:val="00C16C60"/>
    <w:rsid w:val="00C75677"/>
    <w:rsid w:val="00C9035C"/>
    <w:rsid w:val="00CC66B8"/>
    <w:rsid w:val="00CF0099"/>
    <w:rsid w:val="00D15768"/>
    <w:rsid w:val="00DB47DB"/>
    <w:rsid w:val="00DC2DC9"/>
    <w:rsid w:val="00DF6E6D"/>
    <w:rsid w:val="00E926B0"/>
    <w:rsid w:val="00EA54CF"/>
    <w:rsid w:val="00F513D4"/>
    <w:rsid w:val="00F74E02"/>
    <w:rsid w:val="00F81849"/>
    <w:rsid w:val="00F872C3"/>
    <w:rsid w:val="00F93530"/>
    <w:rsid w:val="00FB52CC"/>
    <w:rsid w:val="00FC6BC1"/>
    <w:rsid w:val="00FE477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0A23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243A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rsid w:val="003813F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rsid w:val="003813F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1438</Words>
  <Characters>8197</Characters>
  <Application>Microsoft Macintosh Word</Application>
  <DocSecurity>0</DocSecurity>
  <Lines>68</Lines>
  <Paragraphs>16</Paragraphs>
  <ScaleCrop>false</ScaleCrop>
  <Company>institut curie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Aurele Piazza</dc:creator>
  <cp:keywords/>
  <cp:lastModifiedBy>Aurele Piazza</cp:lastModifiedBy>
  <cp:revision>64</cp:revision>
  <dcterms:created xsi:type="dcterms:W3CDTF">2012-05-31T08:03:00Z</dcterms:created>
  <dcterms:modified xsi:type="dcterms:W3CDTF">2012-08-23T17:32:00Z</dcterms:modified>
</cp:coreProperties>
</file>