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D4C0" w14:textId="77777777" w:rsidR="004B5D5A" w:rsidRDefault="004B5D5A" w:rsidP="004B5D5A">
      <w:pPr>
        <w:pStyle w:val="Cmsor1"/>
        <w:spacing w:before="64" w:line="295" w:lineRule="auto"/>
        <w:ind w:right="5099"/>
        <w:jc w:val="both"/>
        <w:rPr>
          <w:rFonts w:ascii="Arial" w:hAnsi="Arial" w:cs="Arial"/>
          <w:sz w:val="24"/>
          <w:szCs w:val="24"/>
        </w:rPr>
      </w:pPr>
      <w:r w:rsidRPr="00422D75">
        <w:rPr>
          <w:rFonts w:ascii="Arial" w:hAnsi="Arial" w:cs="Arial"/>
          <w:sz w:val="24"/>
          <w:szCs w:val="24"/>
        </w:rPr>
        <w:t xml:space="preserve">Supplementary </w:t>
      </w:r>
      <w:r>
        <w:rPr>
          <w:rFonts w:ascii="Arial" w:hAnsi="Arial" w:cs="Arial"/>
          <w:sz w:val="24"/>
          <w:szCs w:val="24"/>
        </w:rPr>
        <w:t>Methods</w:t>
      </w:r>
    </w:p>
    <w:p w14:paraId="223AB772" w14:textId="77777777" w:rsidR="004B5D5A" w:rsidRPr="00422D75" w:rsidRDefault="004B5D5A" w:rsidP="004B5D5A">
      <w:pPr>
        <w:pStyle w:val="Cmsor1"/>
        <w:spacing w:before="64" w:line="295" w:lineRule="auto"/>
        <w:ind w:right="5099"/>
        <w:jc w:val="both"/>
        <w:rPr>
          <w:rFonts w:ascii="Arial" w:hAnsi="Arial" w:cs="Arial"/>
          <w:sz w:val="24"/>
          <w:szCs w:val="24"/>
        </w:rPr>
      </w:pPr>
      <w:r w:rsidRPr="00422D75">
        <w:rPr>
          <w:rFonts w:ascii="Arial" w:hAnsi="Arial" w:cs="Arial"/>
          <w:sz w:val="24"/>
          <w:szCs w:val="24"/>
        </w:rPr>
        <w:t>Genetic data processing</w:t>
      </w:r>
    </w:p>
    <w:p w14:paraId="419C6742" w14:textId="77777777" w:rsidR="004B5D5A" w:rsidRPr="00422D75" w:rsidRDefault="004B5D5A" w:rsidP="004B5D5A">
      <w:pPr>
        <w:spacing w:line="231" w:lineRule="exact"/>
        <w:ind w:left="100"/>
        <w:jc w:val="both"/>
        <w:rPr>
          <w:rFonts w:ascii="Arial" w:hAnsi="Arial" w:cs="Arial"/>
          <w:i/>
        </w:rPr>
      </w:pPr>
      <w:r w:rsidRPr="00422D75">
        <w:rPr>
          <w:rFonts w:ascii="Arial" w:hAnsi="Arial" w:cs="Arial"/>
          <w:i/>
        </w:rPr>
        <w:t xml:space="preserve">ADNI WGS data </w:t>
      </w:r>
      <w:proofErr w:type="spellStart"/>
      <w:r w:rsidRPr="00422D75">
        <w:rPr>
          <w:rFonts w:ascii="Arial" w:hAnsi="Arial" w:cs="Arial"/>
          <w:i/>
        </w:rPr>
        <w:t>preprocessing</w:t>
      </w:r>
      <w:proofErr w:type="spellEnd"/>
    </w:p>
    <w:p w14:paraId="28321676" w14:textId="0FCD3E21" w:rsidR="004B5D5A" w:rsidRPr="00E066FC" w:rsidRDefault="004B5D5A" w:rsidP="004B5D5A">
      <w:pPr>
        <w:pStyle w:val="Szvegtrzs"/>
        <w:spacing w:before="37" w:line="276" w:lineRule="auto"/>
        <w:ind w:right="4"/>
        <w:jc w:val="both"/>
      </w:pPr>
      <w:r w:rsidRPr="003F30C6">
        <w:t xml:space="preserve">WGS was obtained from blood genomic DNA samples and processed by ADNI, as described elsewhere </w:t>
      </w:r>
      <w:r w:rsidR="002476B6">
        <w:t>[</w:t>
      </w:r>
      <w:r w:rsidRPr="003F30C6">
        <w:t>1</w:t>
      </w:r>
      <w:r w:rsidR="002476B6">
        <w:t>]</w:t>
      </w:r>
      <w:r w:rsidRPr="003F30C6">
        <w:t xml:space="preserve">. Briefly, sequencing was performed using the Illumina HiSeq2000 system through </w:t>
      </w:r>
      <w:proofErr w:type="gramStart"/>
      <w:r w:rsidRPr="003F30C6">
        <w:t>paired-end</w:t>
      </w:r>
      <w:proofErr w:type="gramEnd"/>
      <w:r w:rsidRPr="003F30C6">
        <w:t xml:space="preserve"> read chemistry and read lengths of 100 base pairs. Reads were aligned to the reference human genome (NCBI build 37.72)</w:t>
      </w:r>
      <w:r w:rsidRPr="00E066FC">
        <w:t xml:space="preserve"> using the BWA tool </w:t>
      </w:r>
      <w:r w:rsidR="002476B6">
        <w:t>[</w:t>
      </w:r>
      <w:r w:rsidRPr="00E066FC">
        <w:t>2</w:t>
      </w:r>
      <w:r w:rsidR="002476B6">
        <w:t>]</w:t>
      </w:r>
      <w:r w:rsidRPr="00E066FC">
        <w:t xml:space="preserve"> and used for multi-sample variant calling with the GATK </w:t>
      </w:r>
      <w:proofErr w:type="spellStart"/>
      <w:r w:rsidRPr="00E066FC">
        <w:t>HaplotypeCaller</w:t>
      </w:r>
      <w:proofErr w:type="spellEnd"/>
      <w:r w:rsidRPr="00E066FC">
        <w:t xml:space="preserve"> </w:t>
      </w:r>
      <w:r w:rsidR="002476B6">
        <w:t>[</w:t>
      </w:r>
      <w:r w:rsidRPr="00E066FC">
        <w:t>3</w:t>
      </w:r>
      <w:r w:rsidR="002476B6">
        <w:t>]</w:t>
      </w:r>
      <w:r w:rsidRPr="00E066FC">
        <w:t>.</w:t>
      </w:r>
    </w:p>
    <w:p w14:paraId="24946B49" w14:textId="77777777" w:rsidR="004B5D5A" w:rsidRPr="00E066FC" w:rsidRDefault="004B5D5A" w:rsidP="004B5D5A">
      <w:pPr>
        <w:pStyle w:val="Szvegtrzs"/>
        <w:spacing w:before="3"/>
        <w:ind w:left="0"/>
        <w:jc w:val="both"/>
        <w:rPr>
          <w:sz w:val="25"/>
        </w:rPr>
      </w:pPr>
    </w:p>
    <w:p w14:paraId="6CE48EC2" w14:textId="77777777" w:rsidR="004B5D5A" w:rsidRPr="00422D75" w:rsidRDefault="004B5D5A" w:rsidP="004B5D5A">
      <w:pPr>
        <w:ind w:left="100" w:right="4"/>
        <w:jc w:val="both"/>
        <w:rPr>
          <w:rFonts w:ascii="Arial" w:hAnsi="Arial" w:cs="Arial"/>
          <w:i/>
        </w:rPr>
      </w:pPr>
      <w:r w:rsidRPr="00422D75">
        <w:rPr>
          <w:rFonts w:ascii="Arial" w:hAnsi="Arial" w:cs="Arial"/>
          <w:i/>
        </w:rPr>
        <w:t xml:space="preserve">ADSP WES data </w:t>
      </w:r>
      <w:proofErr w:type="spellStart"/>
      <w:r w:rsidRPr="00422D75">
        <w:rPr>
          <w:rFonts w:ascii="Arial" w:hAnsi="Arial" w:cs="Arial"/>
          <w:i/>
        </w:rPr>
        <w:t>preprocessing</w:t>
      </w:r>
      <w:proofErr w:type="spellEnd"/>
    </w:p>
    <w:p w14:paraId="17458E02" w14:textId="77777777" w:rsidR="004B5D5A" w:rsidRPr="00E066FC" w:rsidRDefault="004B5D5A" w:rsidP="004B5D5A">
      <w:pPr>
        <w:pStyle w:val="Szvegtrzs"/>
        <w:spacing w:before="37" w:line="276" w:lineRule="auto"/>
        <w:ind w:right="4"/>
        <w:jc w:val="both"/>
      </w:pPr>
      <w:r w:rsidRPr="003F30C6">
        <w:t>ADSP</w:t>
      </w:r>
      <w:r w:rsidRPr="003F30C6">
        <w:rPr>
          <w:spacing w:val="-11"/>
        </w:rPr>
        <w:t xml:space="preserve"> </w:t>
      </w:r>
      <w:r w:rsidRPr="00E066FC">
        <w:rPr>
          <w:spacing w:val="3"/>
        </w:rPr>
        <w:t>WES</w:t>
      </w:r>
      <w:r w:rsidRPr="00E066FC">
        <w:rPr>
          <w:spacing w:val="-5"/>
        </w:rPr>
        <w:t xml:space="preserve"> </w:t>
      </w:r>
      <w:r w:rsidRPr="00E066FC">
        <w:t>data</w:t>
      </w:r>
      <w:r w:rsidRPr="00E066FC">
        <w:rPr>
          <w:spacing w:val="-7"/>
        </w:rPr>
        <w:t xml:space="preserve"> </w:t>
      </w:r>
      <w:r w:rsidRPr="00E066FC">
        <w:t>were</w:t>
      </w:r>
      <w:r w:rsidRPr="00E066FC">
        <w:rPr>
          <w:spacing w:val="-6"/>
        </w:rPr>
        <w:t xml:space="preserve"> </w:t>
      </w:r>
      <w:r w:rsidRPr="00E066FC">
        <w:t>retrieved</w:t>
      </w:r>
      <w:r w:rsidRPr="00E066FC">
        <w:rPr>
          <w:spacing w:val="-6"/>
        </w:rPr>
        <w:t xml:space="preserve"> </w:t>
      </w:r>
      <w:r w:rsidRPr="00E066FC">
        <w:t>through</w:t>
      </w:r>
      <w:r w:rsidRPr="00E066FC">
        <w:rPr>
          <w:spacing w:val="-2"/>
        </w:rPr>
        <w:t xml:space="preserve"> </w:t>
      </w:r>
      <w:proofErr w:type="spellStart"/>
      <w:r w:rsidRPr="00E066FC">
        <w:t>dbG</w:t>
      </w:r>
      <w:r>
        <w:t>a</w:t>
      </w:r>
      <w:r w:rsidRPr="00E066FC">
        <w:t>P</w:t>
      </w:r>
      <w:proofErr w:type="spellEnd"/>
      <w:r w:rsidRPr="00E066FC">
        <w:rPr>
          <w:spacing w:val="-5"/>
        </w:rPr>
        <w:t xml:space="preserve"> </w:t>
      </w:r>
      <w:r w:rsidRPr="00E066FC">
        <w:t>(accession</w:t>
      </w:r>
      <w:r w:rsidRPr="00E066FC">
        <w:rPr>
          <w:spacing w:val="-2"/>
        </w:rPr>
        <w:t xml:space="preserve"> </w:t>
      </w:r>
      <w:r w:rsidRPr="00E066FC">
        <w:t>ID:</w:t>
      </w:r>
      <w:r w:rsidRPr="00E066FC">
        <w:rPr>
          <w:spacing w:val="-5"/>
        </w:rPr>
        <w:t xml:space="preserve"> </w:t>
      </w:r>
      <w:r w:rsidRPr="00E066FC">
        <w:t>phs000572.v</w:t>
      </w:r>
      <w:proofErr w:type="gramStart"/>
      <w:r w:rsidRPr="00E066FC">
        <w:t>7.p</w:t>
      </w:r>
      <w:proofErr w:type="gramEnd"/>
      <w:r w:rsidRPr="00E066FC">
        <w:t>4),</w:t>
      </w:r>
      <w:r w:rsidRPr="00E066FC">
        <w:rPr>
          <w:spacing w:val="-6"/>
        </w:rPr>
        <w:t xml:space="preserve"> </w:t>
      </w:r>
      <w:r w:rsidRPr="00E066FC">
        <w:rPr>
          <w:spacing w:val="2"/>
        </w:rPr>
        <w:t xml:space="preserve">which </w:t>
      </w:r>
      <w:r w:rsidRPr="00E066FC">
        <w:t xml:space="preserve">include </w:t>
      </w:r>
      <w:proofErr w:type="spellStart"/>
      <w:r w:rsidRPr="00E066FC">
        <w:t>QC'ed</w:t>
      </w:r>
      <w:proofErr w:type="spellEnd"/>
      <w:r w:rsidRPr="00E066FC">
        <w:t xml:space="preserve"> SNV genotypes concordant between the Atlas (Baylor's) and GATK (Broad's) calling pipelines. Briefly, 10,913 subjects underwent </w:t>
      </w:r>
      <w:r w:rsidRPr="00E066FC">
        <w:rPr>
          <w:spacing w:val="3"/>
        </w:rPr>
        <w:t xml:space="preserve">WES </w:t>
      </w:r>
      <w:r w:rsidRPr="00E066FC">
        <w:t>at three different sequencing centers (the Human Genome Sequencing Center at Baylor College of Medicine, Broad Institute, and Genome Institute at Washington University), capturing the exome</w:t>
      </w:r>
      <w:r w:rsidRPr="00E066FC">
        <w:rPr>
          <w:spacing w:val="-21"/>
        </w:rPr>
        <w:t xml:space="preserve"> </w:t>
      </w:r>
      <w:r w:rsidRPr="00E066FC">
        <w:t>target</w:t>
      </w:r>
      <w:r w:rsidRPr="00E066FC">
        <w:rPr>
          <w:spacing w:val="-15"/>
        </w:rPr>
        <w:t xml:space="preserve"> </w:t>
      </w:r>
      <w:r w:rsidRPr="00E066FC">
        <w:t>region</w:t>
      </w:r>
      <w:r w:rsidRPr="00E066FC">
        <w:rPr>
          <w:spacing w:val="-15"/>
        </w:rPr>
        <w:t xml:space="preserve"> </w:t>
      </w:r>
      <w:r w:rsidRPr="00E066FC">
        <w:t>using</w:t>
      </w:r>
      <w:r w:rsidRPr="00E066FC">
        <w:rPr>
          <w:spacing w:val="-11"/>
        </w:rPr>
        <w:t xml:space="preserve"> </w:t>
      </w:r>
      <w:r w:rsidRPr="00E066FC">
        <w:t>the</w:t>
      </w:r>
      <w:r w:rsidRPr="00E066FC">
        <w:rPr>
          <w:spacing w:val="-21"/>
        </w:rPr>
        <w:t xml:space="preserve"> </w:t>
      </w:r>
      <w:r w:rsidRPr="00E066FC">
        <w:t>Illumina</w:t>
      </w:r>
      <w:r w:rsidRPr="00E066FC">
        <w:rPr>
          <w:spacing w:val="-20"/>
        </w:rPr>
        <w:t xml:space="preserve"> </w:t>
      </w:r>
      <w:r w:rsidRPr="00E066FC">
        <w:t>Rapid</w:t>
      </w:r>
      <w:r w:rsidRPr="00E066FC">
        <w:rPr>
          <w:spacing w:val="-21"/>
        </w:rPr>
        <w:t xml:space="preserve"> </w:t>
      </w:r>
      <w:r w:rsidRPr="00E066FC">
        <w:t>Capture</w:t>
      </w:r>
      <w:r w:rsidRPr="00E066FC">
        <w:rPr>
          <w:spacing w:val="-20"/>
        </w:rPr>
        <w:t xml:space="preserve"> </w:t>
      </w:r>
      <w:r w:rsidRPr="00E066FC">
        <w:t>Exome</w:t>
      </w:r>
      <w:r w:rsidRPr="00E066FC">
        <w:rPr>
          <w:spacing w:val="-21"/>
        </w:rPr>
        <w:t xml:space="preserve"> </w:t>
      </w:r>
      <w:r w:rsidRPr="00E066FC">
        <w:t>or</w:t>
      </w:r>
      <w:r w:rsidRPr="00E066FC">
        <w:rPr>
          <w:spacing w:val="-11"/>
        </w:rPr>
        <w:t xml:space="preserve"> </w:t>
      </w:r>
      <w:r w:rsidRPr="00E066FC">
        <w:t>the</w:t>
      </w:r>
      <w:r w:rsidRPr="00E066FC">
        <w:rPr>
          <w:spacing w:val="-16"/>
        </w:rPr>
        <w:t xml:space="preserve"> </w:t>
      </w:r>
      <w:proofErr w:type="spellStart"/>
      <w:r w:rsidRPr="00E066FC">
        <w:t>Nimblegen's</w:t>
      </w:r>
      <w:proofErr w:type="spellEnd"/>
      <w:r w:rsidRPr="00E066FC">
        <w:rPr>
          <w:spacing w:val="-14"/>
        </w:rPr>
        <w:t xml:space="preserve"> </w:t>
      </w:r>
      <w:proofErr w:type="spellStart"/>
      <w:r w:rsidRPr="00E066FC">
        <w:t>VCRome</w:t>
      </w:r>
      <w:proofErr w:type="spellEnd"/>
      <w:r w:rsidRPr="00E066FC">
        <w:t xml:space="preserve"> v2.1 exome </w:t>
      </w:r>
      <w:proofErr w:type="gramStart"/>
      <w:r w:rsidRPr="00E066FC">
        <w:t>kits</w:t>
      </w:r>
      <w:proofErr w:type="gramEnd"/>
      <w:r w:rsidRPr="00E066FC">
        <w:t xml:space="preserve"> and paired-end sequencing them on Illumina </w:t>
      </w:r>
      <w:proofErr w:type="spellStart"/>
      <w:r w:rsidRPr="00E066FC">
        <w:t>HiSeq</w:t>
      </w:r>
      <w:proofErr w:type="spellEnd"/>
      <w:r w:rsidRPr="00E066FC">
        <w:t xml:space="preserve"> </w:t>
      </w:r>
      <w:r w:rsidRPr="00E066FC">
        <w:rPr>
          <w:spacing w:val="-3"/>
        </w:rPr>
        <w:t xml:space="preserve">2000 </w:t>
      </w:r>
      <w:r w:rsidRPr="00E066FC">
        <w:t xml:space="preserve">platform. Detailed information about sequencing and QC pipeline is available from </w:t>
      </w:r>
      <w:hyperlink r:id="rId5">
        <w:r w:rsidRPr="003F30C6">
          <w:t>https://www.niagads.org/adsp/content/sequencing-pipelines</w:t>
        </w:r>
      </w:hyperlink>
      <w:r w:rsidRPr="003F30C6">
        <w:t xml:space="preserve">. Whole-genome sequencing (WGS) </w:t>
      </w:r>
      <w:r w:rsidRPr="003F30C6">
        <w:rPr>
          <w:spacing w:val="-3"/>
        </w:rPr>
        <w:t xml:space="preserve">data, </w:t>
      </w:r>
      <w:r w:rsidRPr="00E066FC">
        <w:t>available from ADSP was not considered since the majority of the subjects available were of Caribbean-Hispanic</w:t>
      </w:r>
      <w:r w:rsidRPr="00E066FC">
        <w:rPr>
          <w:spacing w:val="-10"/>
        </w:rPr>
        <w:t xml:space="preserve"> </w:t>
      </w:r>
      <w:r w:rsidRPr="00E066FC">
        <w:t>ancestry.</w:t>
      </w:r>
    </w:p>
    <w:p w14:paraId="62659AFF" w14:textId="698AB63B" w:rsidR="004B5D5A" w:rsidRPr="00E066FC" w:rsidRDefault="004B5D5A" w:rsidP="004B5D5A">
      <w:pPr>
        <w:pStyle w:val="Szvegtrzs"/>
        <w:spacing w:before="1" w:line="276" w:lineRule="auto"/>
        <w:ind w:right="4"/>
        <w:jc w:val="both"/>
        <w:rPr>
          <w:sz w:val="29"/>
        </w:rPr>
      </w:pPr>
      <w:r w:rsidRPr="00E066FC">
        <w:rPr>
          <w:spacing w:val="3"/>
        </w:rPr>
        <w:t xml:space="preserve">We </w:t>
      </w:r>
      <w:r w:rsidRPr="00E066FC">
        <w:t xml:space="preserve">identified ADSP subjects who were sequenced as part of ADNI and removed them from the sample. </w:t>
      </w:r>
      <w:r w:rsidRPr="00E066FC">
        <w:rPr>
          <w:spacing w:val="-3"/>
        </w:rPr>
        <w:t xml:space="preserve">To </w:t>
      </w:r>
      <w:r w:rsidRPr="00E066FC">
        <w:t xml:space="preserve">identify overlapping samples, we performed the following steps: </w:t>
      </w:r>
      <w:r w:rsidRPr="00E066FC">
        <w:rPr>
          <w:spacing w:val="2"/>
        </w:rPr>
        <w:t xml:space="preserve">we </w:t>
      </w:r>
      <w:r w:rsidRPr="00E066FC">
        <w:t xml:space="preserve">selected from the ADNI </w:t>
      </w:r>
      <w:r w:rsidRPr="00E066FC">
        <w:rPr>
          <w:spacing w:val="3"/>
        </w:rPr>
        <w:t xml:space="preserve">WGS </w:t>
      </w:r>
      <w:r w:rsidRPr="00E066FC">
        <w:t xml:space="preserve">data the set of </w:t>
      </w:r>
      <w:proofErr w:type="spellStart"/>
      <w:r w:rsidRPr="00E066FC">
        <w:t>exonic</w:t>
      </w:r>
      <w:proofErr w:type="spellEnd"/>
      <w:r w:rsidRPr="00E066FC">
        <w:t xml:space="preserve"> SNVs in common with ADSP WES, then merged the two datasets using PLINK v1.9 </w:t>
      </w:r>
      <w:r w:rsidR="002476B6">
        <w:t>[</w:t>
      </w:r>
      <w:r w:rsidRPr="00E066FC">
        <w:t>4</w:t>
      </w:r>
      <w:r w:rsidR="002476B6">
        <w:t>]</w:t>
      </w:r>
      <w:r w:rsidRPr="00E066FC">
        <w:t xml:space="preserve">. On the merged dataset, </w:t>
      </w:r>
      <w:r w:rsidRPr="00E066FC">
        <w:rPr>
          <w:spacing w:val="2"/>
        </w:rPr>
        <w:t xml:space="preserve">we </w:t>
      </w:r>
      <w:r w:rsidRPr="00E066FC">
        <w:t>performed basic quality control (minor allele frequency [MAF] &lt;0.05, SNV missingness rate &gt;0.1, Hardy-Weinberg equilibrium p&lt;5e-7), followed by linkage disequilibrium-based pruning (PLINK parameters: --</w:t>
      </w:r>
      <w:proofErr w:type="spellStart"/>
      <w:r w:rsidRPr="00E066FC">
        <w:t>indep</w:t>
      </w:r>
      <w:proofErr w:type="spellEnd"/>
      <w:r w:rsidRPr="00E066FC">
        <w:t>-pairwise 500 50 0.2). On this dataset of independent</w:t>
      </w:r>
      <w:r w:rsidRPr="00E066FC">
        <w:rPr>
          <w:spacing w:val="-1"/>
        </w:rPr>
        <w:t xml:space="preserve"> </w:t>
      </w:r>
      <w:proofErr w:type="spellStart"/>
      <w:r w:rsidRPr="00E066FC">
        <w:t>exonic</w:t>
      </w:r>
      <w:proofErr w:type="spellEnd"/>
      <w:r w:rsidRPr="00E066FC">
        <w:rPr>
          <w:spacing w:val="-5"/>
        </w:rPr>
        <w:t xml:space="preserve"> </w:t>
      </w:r>
      <w:r w:rsidRPr="00E066FC">
        <w:t>SNVs,</w:t>
      </w:r>
      <w:r w:rsidRPr="00E066FC">
        <w:rPr>
          <w:spacing w:val="-6"/>
        </w:rPr>
        <w:t xml:space="preserve"> </w:t>
      </w:r>
      <w:r w:rsidRPr="00E066FC">
        <w:rPr>
          <w:spacing w:val="2"/>
        </w:rPr>
        <w:t>we</w:t>
      </w:r>
      <w:r w:rsidRPr="00E066FC">
        <w:rPr>
          <w:spacing w:val="-7"/>
        </w:rPr>
        <w:t xml:space="preserve"> </w:t>
      </w:r>
      <w:r w:rsidRPr="00E066FC">
        <w:t>computed</w:t>
      </w:r>
      <w:r w:rsidRPr="00E066FC">
        <w:rPr>
          <w:spacing w:val="-7"/>
        </w:rPr>
        <w:t xml:space="preserve"> </w:t>
      </w:r>
      <w:r w:rsidRPr="00E066FC">
        <w:t>identity-by-descent</w:t>
      </w:r>
      <w:r w:rsidRPr="00E066FC">
        <w:rPr>
          <w:spacing w:val="-5"/>
        </w:rPr>
        <w:t xml:space="preserve"> </w:t>
      </w:r>
      <w:r w:rsidRPr="00E066FC">
        <w:t>for</w:t>
      </w:r>
      <w:r w:rsidRPr="00E066FC">
        <w:rPr>
          <w:spacing w:val="-3"/>
        </w:rPr>
        <w:t xml:space="preserve"> </w:t>
      </w:r>
      <w:r w:rsidRPr="00E066FC">
        <w:t>all</w:t>
      </w:r>
      <w:r w:rsidRPr="00E066FC">
        <w:rPr>
          <w:spacing w:val="-4"/>
        </w:rPr>
        <w:t xml:space="preserve"> </w:t>
      </w:r>
      <w:r w:rsidRPr="00E066FC">
        <w:t>pairs</w:t>
      </w:r>
      <w:r w:rsidRPr="00E066FC">
        <w:rPr>
          <w:spacing w:val="-5"/>
        </w:rPr>
        <w:t xml:space="preserve"> </w:t>
      </w:r>
      <w:r w:rsidRPr="00E066FC">
        <w:t>of</w:t>
      </w:r>
      <w:r w:rsidRPr="00E066FC">
        <w:rPr>
          <w:spacing w:val="-1"/>
        </w:rPr>
        <w:t xml:space="preserve"> </w:t>
      </w:r>
      <w:proofErr w:type="gramStart"/>
      <w:r w:rsidRPr="00E066FC">
        <w:t>samples,</w:t>
      </w:r>
      <w:r w:rsidRPr="00E066FC">
        <w:rPr>
          <w:spacing w:val="-6"/>
        </w:rPr>
        <w:t xml:space="preserve"> </w:t>
      </w:r>
      <w:r w:rsidRPr="00E066FC">
        <w:t>and</w:t>
      </w:r>
      <w:proofErr w:type="gramEnd"/>
      <w:r w:rsidRPr="00E066FC">
        <w:t xml:space="preserve"> identified as duplicates all ADSP subjects exhibiting PI_HAT &gt; 0.95 (PLINK</w:t>
      </w:r>
      <w:r w:rsidRPr="00E066FC">
        <w:rPr>
          <w:spacing w:val="-38"/>
        </w:rPr>
        <w:t xml:space="preserve"> </w:t>
      </w:r>
      <w:r w:rsidRPr="00E066FC">
        <w:t>parameters:</w:t>
      </w:r>
      <w:r>
        <w:t xml:space="preserve"> </w:t>
      </w:r>
      <w:r w:rsidRPr="00E066FC">
        <w:t>--genome --min 0.95).</w:t>
      </w:r>
    </w:p>
    <w:p w14:paraId="6EF81248" w14:textId="77777777" w:rsidR="004B5D5A" w:rsidRPr="00422D75" w:rsidRDefault="004B5D5A" w:rsidP="002476B6">
      <w:pPr>
        <w:pStyle w:val="Cmsor1"/>
        <w:ind w:right="4" w:firstLine="100"/>
        <w:jc w:val="both"/>
        <w:rPr>
          <w:rFonts w:ascii="Arial" w:hAnsi="Arial" w:cs="Arial"/>
          <w:sz w:val="24"/>
          <w:szCs w:val="24"/>
        </w:rPr>
      </w:pPr>
      <w:r w:rsidRPr="00422D75">
        <w:rPr>
          <w:rFonts w:ascii="Arial" w:hAnsi="Arial" w:cs="Arial"/>
          <w:sz w:val="24"/>
          <w:szCs w:val="24"/>
        </w:rPr>
        <w:t>Tissue-specific gene interaction networks</w:t>
      </w:r>
    </w:p>
    <w:p w14:paraId="3DE258B4" w14:textId="4F9D7CE8" w:rsidR="004B5D5A" w:rsidRPr="003F30C6" w:rsidRDefault="004B5D5A" w:rsidP="004B5D5A">
      <w:pPr>
        <w:pStyle w:val="Szvegtrzs"/>
        <w:spacing w:before="117" w:line="276" w:lineRule="auto"/>
        <w:ind w:right="4"/>
        <w:jc w:val="both"/>
      </w:pPr>
      <w:r w:rsidRPr="003F30C6">
        <w:t xml:space="preserve">As a substrate for network propagation, we leveraged tissue-specific weighted gene interaction networks from Greene et al. </w:t>
      </w:r>
      <w:r w:rsidR="002476B6">
        <w:t>[</w:t>
      </w:r>
      <w:r w:rsidRPr="003F30C6">
        <w:t>5</w:t>
      </w:r>
      <w:r w:rsidR="002476B6">
        <w:t>]</w:t>
      </w:r>
      <w:r w:rsidRPr="003F30C6">
        <w:t>. In these networks, each node represents a gene, each edge a functional relationship, and an edge between two genes is probabilistically weighted based on experimental evidence connecting both genes.</w:t>
      </w:r>
    </w:p>
    <w:p w14:paraId="2F71D7AB" w14:textId="77777777" w:rsidR="004B5D5A" w:rsidRPr="002E34AA" w:rsidRDefault="004B5D5A" w:rsidP="004B5D5A">
      <w:pPr>
        <w:pStyle w:val="Szvegtrzs"/>
        <w:spacing w:before="2" w:line="276" w:lineRule="auto"/>
        <w:ind w:right="4"/>
        <w:jc w:val="both"/>
        <w:sectPr w:rsidR="004B5D5A" w:rsidRPr="002E34AA">
          <w:pgSz w:w="12240" w:h="15840"/>
          <w:pgMar w:top="1380" w:right="1180" w:bottom="1240" w:left="1700" w:header="0" w:footer="974" w:gutter="0"/>
          <w:cols w:space="720"/>
        </w:sectPr>
      </w:pPr>
      <w:r w:rsidRPr="00E066FC">
        <w:t xml:space="preserve">Curation of these networks involved the integration of evidence from 987 genome-scale data sets encompassing approximately 38,000 conditions from an estimated 14,000 publications including both expression and interaction measurements in 144 tissues and cell lineages, with each data set weighted in a process specific manner. Tissue-specific gene interaction networks are freely available for download </w:t>
      </w:r>
      <w:proofErr w:type="gramStart"/>
      <w:r w:rsidRPr="00E066FC">
        <w:t xml:space="preserve">from </w:t>
      </w:r>
      <w:r>
        <w:t>.</w:t>
      </w:r>
      <w:proofErr w:type="gramEnd"/>
      <w:r w:rsidRPr="003F30C6">
        <w:rPr>
          <w:u w:val="single"/>
        </w:rPr>
        <w:t>http://hb.flatironinstitute.org/downloa</w:t>
      </w:r>
      <w:r>
        <w:rPr>
          <w:u w:val="single"/>
        </w:rPr>
        <w:t>d.</w:t>
      </w:r>
    </w:p>
    <w:p w14:paraId="3D6B92A3" w14:textId="77777777" w:rsidR="004B5D5A" w:rsidRPr="00422D75" w:rsidRDefault="004B5D5A" w:rsidP="002476B6">
      <w:pPr>
        <w:pStyle w:val="Cmsor1"/>
        <w:spacing w:before="93"/>
        <w:ind w:right="4" w:firstLine="100"/>
        <w:jc w:val="both"/>
        <w:rPr>
          <w:rFonts w:ascii="Arial" w:hAnsi="Arial" w:cs="Arial"/>
          <w:sz w:val="24"/>
          <w:szCs w:val="24"/>
        </w:rPr>
      </w:pPr>
      <w:r w:rsidRPr="00422D75">
        <w:rPr>
          <w:rFonts w:ascii="Arial" w:hAnsi="Arial" w:cs="Arial"/>
          <w:sz w:val="24"/>
          <w:szCs w:val="24"/>
        </w:rPr>
        <w:lastRenderedPageBreak/>
        <w:t>Network propagation - synthetic data</w:t>
      </w:r>
    </w:p>
    <w:p w14:paraId="62E5570C" w14:textId="77777777" w:rsidR="004B5D5A" w:rsidRPr="003F30C6" w:rsidRDefault="004B5D5A" w:rsidP="004B5D5A">
      <w:pPr>
        <w:pStyle w:val="Szvegtrzs"/>
        <w:spacing w:before="37" w:line="278" w:lineRule="auto"/>
        <w:ind w:right="4"/>
        <w:jc w:val="both"/>
      </w:pPr>
      <w:r w:rsidRPr="003F30C6">
        <w:t>We conducted a set of experiments with simulated gene mutation profiles to examine the behaviour of our network propagation implementation, as well as to determine the optimal values for some of the parameters listed in the previous section.</w:t>
      </w:r>
    </w:p>
    <w:p w14:paraId="13494D6A" w14:textId="77777777" w:rsidR="004B5D5A" w:rsidRDefault="004B5D5A" w:rsidP="004B5D5A">
      <w:pPr>
        <w:pStyle w:val="Szvegtrzs"/>
        <w:spacing w:line="276" w:lineRule="auto"/>
        <w:ind w:right="4"/>
        <w:jc w:val="both"/>
      </w:pPr>
      <w:r w:rsidRPr="00E066FC">
        <w:t xml:space="preserve">Simulation and investigation of the parameter space was carried out jointly in three nested levels. </w:t>
      </w:r>
    </w:p>
    <w:p w14:paraId="7E2B9E1E" w14:textId="77777777" w:rsidR="004B5D5A" w:rsidRPr="00E066FC" w:rsidRDefault="004B5D5A" w:rsidP="004B5D5A">
      <w:pPr>
        <w:pStyle w:val="Szvegtrzs"/>
        <w:spacing w:line="276" w:lineRule="auto"/>
        <w:ind w:right="4"/>
        <w:jc w:val="both"/>
      </w:pPr>
    </w:p>
    <w:p w14:paraId="6A5DD118" w14:textId="7E0A7200" w:rsidR="004B5D5A" w:rsidRDefault="004B5D5A" w:rsidP="004B5D5A">
      <w:pPr>
        <w:pStyle w:val="Szvegtrzs"/>
        <w:tabs>
          <w:tab w:val="left" w:pos="6938"/>
        </w:tabs>
        <w:spacing w:line="278" w:lineRule="auto"/>
        <w:ind w:right="4"/>
        <w:jc w:val="both"/>
      </w:pPr>
      <w:r w:rsidRPr="00E066FC">
        <w:rPr>
          <w:b/>
          <w:i/>
        </w:rPr>
        <w:t>Level 1</w:t>
      </w:r>
      <w:r w:rsidRPr="00E066FC">
        <w:rPr>
          <w:b/>
        </w:rPr>
        <w:t>:</w:t>
      </w:r>
      <w:r w:rsidRPr="00E066FC">
        <w:t xml:space="preserve"> the original, weighted network is read in; the network is then </w:t>
      </w:r>
      <w:proofErr w:type="spellStart"/>
      <w:r w:rsidRPr="00E066FC">
        <w:t>binarised</w:t>
      </w:r>
      <w:proofErr w:type="spellEnd"/>
      <w:r w:rsidRPr="00E066FC">
        <w:t xml:space="preserve"> retaining a certain percentage P of top edges.</w:t>
      </w:r>
      <w:r w:rsidRPr="00E066FC">
        <w:rPr>
          <w:spacing w:val="-21"/>
        </w:rPr>
        <w:t xml:space="preserve"> </w:t>
      </w:r>
      <w:r w:rsidRPr="00E066FC">
        <w:rPr>
          <w:spacing w:val="6"/>
        </w:rPr>
        <w:t>We</w:t>
      </w:r>
      <w:r w:rsidRPr="00E066FC">
        <w:rPr>
          <w:spacing w:val="-5"/>
        </w:rPr>
        <w:t xml:space="preserve"> </w:t>
      </w:r>
      <w:r w:rsidRPr="00E066FC">
        <w:t xml:space="preserve">vary </w:t>
      </w:r>
      <m:oMath>
        <m:r>
          <w:rPr>
            <w:rFonts w:ascii="Cambria Math" w:hAnsi="Cambria Math"/>
          </w:rPr>
          <m:t>P ∈</m:t>
        </m:r>
        <m:d>
          <m:dPr>
            <m:begChr m:val="{"/>
            <m:endChr m:val="}"/>
            <m:ctrlPr>
              <w:rPr>
                <w:rFonts w:ascii="Cambria Math" w:hAnsi="Cambria Math"/>
                <w:i/>
              </w:rPr>
            </m:ctrlPr>
          </m:dPr>
          <m:e>
            <m:r>
              <w:rPr>
                <w:rFonts w:ascii="Cambria Math" w:hAnsi="Cambria Math"/>
              </w:rPr>
              <m:t>0.5;1;5;10;25</m:t>
            </m:r>
          </m:e>
        </m:d>
        <m:r>
          <w:rPr>
            <w:rFonts w:ascii="Cambria Math" w:hAnsi="Cambria Math"/>
          </w:rPr>
          <m:t>.</m:t>
        </m:r>
      </m:oMath>
      <w:r w:rsidRPr="003F30C6">
        <w:t xml:space="preserve"> For the sake of comput</w:t>
      </w:r>
      <w:r w:rsidRPr="00E066FC">
        <w:t>ational</w:t>
      </w:r>
      <w:r w:rsidRPr="00E066FC">
        <w:rPr>
          <w:spacing w:val="-5"/>
        </w:rPr>
        <w:t xml:space="preserve"> </w:t>
      </w:r>
      <w:r w:rsidRPr="00E066FC">
        <w:t>speed,</w:t>
      </w:r>
      <w:r w:rsidRPr="00E066FC">
        <w:rPr>
          <w:spacing w:val="-2"/>
        </w:rPr>
        <w:t xml:space="preserve"> </w:t>
      </w:r>
      <w:r w:rsidRPr="00E066FC">
        <w:rPr>
          <w:spacing w:val="2"/>
        </w:rPr>
        <w:t>we</w:t>
      </w:r>
      <w:r w:rsidRPr="00E066FC">
        <w:rPr>
          <w:spacing w:val="-7"/>
        </w:rPr>
        <w:t xml:space="preserve"> </w:t>
      </w:r>
      <w:r w:rsidRPr="00E066FC">
        <w:t>do</w:t>
      </w:r>
      <w:r w:rsidRPr="00E066FC">
        <w:rPr>
          <w:spacing w:val="-3"/>
        </w:rPr>
        <w:t xml:space="preserve"> </w:t>
      </w:r>
      <w:r w:rsidRPr="00E066FC">
        <w:t>not</w:t>
      </w:r>
      <w:r w:rsidRPr="00E066FC">
        <w:rPr>
          <w:spacing w:val="-2"/>
        </w:rPr>
        <w:t xml:space="preserve"> </w:t>
      </w:r>
      <w:r w:rsidRPr="00E066FC">
        <w:t>focus</w:t>
      </w:r>
      <w:r w:rsidRPr="00E066FC">
        <w:rPr>
          <w:spacing w:val="-5"/>
        </w:rPr>
        <w:t xml:space="preserve"> </w:t>
      </w:r>
      <w:r w:rsidRPr="00E066FC">
        <w:t>on</w:t>
      </w:r>
      <w:r w:rsidRPr="00E066FC">
        <w:rPr>
          <w:spacing w:val="-8"/>
        </w:rPr>
        <w:t xml:space="preserve"> </w:t>
      </w:r>
      <w:r w:rsidRPr="00E066FC">
        <w:t>the</w:t>
      </w:r>
      <w:r w:rsidRPr="00E066FC">
        <w:rPr>
          <w:spacing w:val="-3"/>
        </w:rPr>
        <w:t xml:space="preserve"> </w:t>
      </w:r>
      <w:r w:rsidRPr="00E066FC">
        <w:t>entire</w:t>
      </w:r>
      <w:r w:rsidRPr="00E066FC">
        <w:rPr>
          <w:spacing w:val="-2"/>
        </w:rPr>
        <w:t xml:space="preserve"> </w:t>
      </w:r>
      <w:r w:rsidRPr="00E066FC">
        <w:t>hippocampus</w:t>
      </w:r>
      <w:r w:rsidRPr="00E066FC">
        <w:rPr>
          <w:spacing w:val="-6"/>
        </w:rPr>
        <w:t xml:space="preserve"> </w:t>
      </w:r>
      <w:r w:rsidRPr="00E066FC">
        <w:t>gene</w:t>
      </w:r>
      <w:r w:rsidRPr="00E066FC">
        <w:rPr>
          <w:spacing w:val="-3"/>
        </w:rPr>
        <w:t xml:space="preserve"> </w:t>
      </w:r>
      <w:r w:rsidRPr="00E066FC">
        <w:t>network;</w:t>
      </w:r>
      <w:r w:rsidRPr="00E066FC">
        <w:rPr>
          <w:spacing w:val="-6"/>
        </w:rPr>
        <w:t xml:space="preserve"> </w:t>
      </w:r>
      <w:r w:rsidRPr="00E066FC">
        <w:t xml:space="preserve">instead, from the </w:t>
      </w:r>
      <w:proofErr w:type="spellStart"/>
      <w:r w:rsidRPr="00E066FC">
        <w:t>binarised</w:t>
      </w:r>
      <w:proofErr w:type="spellEnd"/>
      <w:r w:rsidRPr="00E066FC">
        <w:t xml:space="preserve"> network </w:t>
      </w:r>
      <w:r w:rsidRPr="00E066FC">
        <w:rPr>
          <w:spacing w:val="2"/>
        </w:rPr>
        <w:t xml:space="preserve">we </w:t>
      </w:r>
      <w:r w:rsidRPr="00E066FC">
        <w:t xml:space="preserve">extract a subgraph of radius 2 centered on a randomly selected hub gene (in this instance, </w:t>
      </w:r>
      <w:r w:rsidRPr="00E066FC">
        <w:rPr>
          <w:i/>
        </w:rPr>
        <w:t>CALML3</w:t>
      </w:r>
      <w:r w:rsidRPr="00E066FC">
        <w:t xml:space="preserve">), using the python package </w:t>
      </w:r>
      <w:proofErr w:type="spellStart"/>
      <w:r w:rsidRPr="00E066FC">
        <w:rPr>
          <w:i/>
        </w:rPr>
        <w:t>networkx</w:t>
      </w:r>
      <w:proofErr w:type="spellEnd"/>
      <w:r w:rsidRPr="00E066FC">
        <w:rPr>
          <w:i/>
        </w:rPr>
        <w:t xml:space="preserve"> </w:t>
      </w:r>
      <w:r w:rsidRPr="00E066FC">
        <w:t xml:space="preserve">version 2.2 </w:t>
      </w:r>
      <w:r w:rsidR="002476B6">
        <w:t>[</w:t>
      </w:r>
      <w:r w:rsidRPr="00E066FC">
        <w:t>6</w:t>
      </w:r>
      <w:r w:rsidR="002476B6">
        <w:t>]</w:t>
      </w:r>
      <w:r w:rsidRPr="00E066FC">
        <w:t xml:space="preserve">. This subgraph extraction is performed only for simulation purposes, whereas the full hippocampus network is used for application to real world data. </w:t>
      </w:r>
      <w:r w:rsidRPr="00E066FC">
        <w:rPr>
          <w:spacing w:val="-3"/>
        </w:rPr>
        <w:t xml:space="preserve">The </w:t>
      </w:r>
      <w:r w:rsidRPr="00E066FC">
        <w:t xml:space="preserve">number M of </w:t>
      </w:r>
      <w:r w:rsidRPr="00E066FC">
        <w:rPr>
          <w:spacing w:val="-3"/>
        </w:rPr>
        <w:t xml:space="preserve">nodes </w:t>
      </w:r>
      <w:r w:rsidRPr="00E066FC">
        <w:t>in this subgraph is retained for use in the next level.</w:t>
      </w:r>
    </w:p>
    <w:p w14:paraId="2C2B6AA6" w14:textId="77777777" w:rsidR="004B5D5A" w:rsidRPr="00E066FC" w:rsidRDefault="004B5D5A" w:rsidP="004B5D5A">
      <w:pPr>
        <w:pStyle w:val="Szvegtrzs"/>
        <w:tabs>
          <w:tab w:val="left" w:pos="6938"/>
        </w:tabs>
        <w:spacing w:line="278" w:lineRule="auto"/>
        <w:ind w:right="4"/>
        <w:jc w:val="both"/>
      </w:pPr>
    </w:p>
    <w:p w14:paraId="18A72F7C" w14:textId="77777777" w:rsidR="004B5D5A" w:rsidRPr="00E066FC" w:rsidRDefault="004B5D5A" w:rsidP="004B5D5A">
      <w:pPr>
        <w:pStyle w:val="Szvegtrzs"/>
        <w:tabs>
          <w:tab w:val="left" w:pos="1581"/>
          <w:tab w:val="left" w:pos="2381"/>
        </w:tabs>
        <w:spacing w:line="278" w:lineRule="auto"/>
        <w:ind w:right="4"/>
        <w:jc w:val="both"/>
      </w:pPr>
      <w:r w:rsidRPr="00E066FC">
        <w:rPr>
          <w:b/>
          <w:i/>
        </w:rPr>
        <w:t>Level 2</w:t>
      </w:r>
      <w:r w:rsidRPr="00E066FC">
        <w:rPr>
          <w:b/>
        </w:rPr>
        <w:t>:</w:t>
      </w:r>
      <w:r w:rsidRPr="00E066FC">
        <w:t xml:space="preserve"> synthetic, binary mutation profiles for S = 2,000 subjects (equally divided into AD</w:t>
      </w:r>
      <w:r w:rsidRPr="00E066FC">
        <w:rPr>
          <w:spacing w:val="-5"/>
        </w:rPr>
        <w:t xml:space="preserve"> </w:t>
      </w:r>
      <w:r w:rsidRPr="00E066FC">
        <w:t>cases and</w:t>
      </w:r>
      <w:r w:rsidRPr="00E066FC">
        <w:rPr>
          <w:spacing w:val="-7"/>
        </w:rPr>
        <w:t xml:space="preserve"> </w:t>
      </w:r>
      <w:r w:rsidRPr="00E066FC">
        <w:t>controls)</w:t>
      </w:r>
      <w:r w:rsidRPr="00E066FC">
        <w:rPr>
          <w:spacing w:val="2"/>
        </w:rPr>
        <w:t xml:space="preserve"> </w:t>
      </w:r>
      <w:r w:rsidRPr="00E066FC">
        <w:t>and</w:t>
      </w:r>
      <w:r w:rsidRPr="00E066FC">
        <w:rPr>
          <w:spacing w:val="-7"/>
        </w:rPr>
        <w:t xml:space="preserve"> </w:t>
      </w:r>
      <w:r w:rsidRPr="00E066FC">
        <w:t>M</w:t>
      </w:r>
      <w:r w:rsidRPr="00E066FC">
        <w:rPr>
          <w:spacing w:val="-3"/>
        </w:rPr>
        <w:t xml:space="preserve"> </w:t>
      </w:r>
      <w:r w:rsidRPr="00E066FC">
        <w:t>genes are</w:t>
      </w:r>
      <w:r w:rsidRPr="00E066FC">
        <w:rPr>
          <w:spacing w:val="-2"/>
        </w:rPr>
        <w:t xml:space="preserve"> </w:t>
      </w:r>
      <w:r w:rsidRPr="00E066FC">
        <w:t>generated</w:t>
      </w:r>
      <w:r w:rsidRPr="00E066FC">
        <w:rPr>
          <w:spacing w:val="-2"/>
        </w:rPr>
        <w:t xml:space="preserve"> </w:t>
      </w:r>
      <w:r w:rsidRPr="00E066FC">
        <w:t>by</w:t>
      </w:r>
      <w:r w:rsidRPr="00E066FC">
        <w:rPr>
          <w:spacing w:val="-10"/>
        </w:rPr>
        <w:t xml:space="preserve"> </w:t>
      </w:r>
      <w:r w:rsidRPr="00E066FC">
        <w:t>assigning</w:t>
      </w:r>
      <w:r w:rsidRPr="00E066FC">
        <w:rPr>
          <w:spacing w:val="-2"/>
        </w:rPr>
        <w:t xml:space="preserve"> </w:t>
      </w:r>
      <w:r w:rsidRPr="00E066FC">
        <w:t>the</w:t>
      </w:r>
      <w:r w:rsidRPr="00E066FC">
        <w:rPr>
          <w:spacing w:val="-7"/>
        </w:rPr>
        <w:t xml:space="preserve"> </w:t>
      </w:r>
      <w:r w:rsidRPr="00E066FC">
        <w:t>“mutated”</w:t>
      </w:r>
      <w:r w:rsidRPr="00E066FC">
        <w:rPr>
          <w:spacing w:val="-3"/>
        </w:rPr>
        <w:t xml:space="preserve"> </w:t>
      </w:r>
      <w:r w:rsidRPr="00E066FC">
        <w:t>status</w:t>
      </w:r>
      <w:r w:rsidRPr="00E066FC">
        <w:rPr>
          <w:spacing w:val="-1"/>
        </w:rPr>
        <w:t xml:space="preserve"> </w:t>
      </w:r>
      <w:r w:rsidRPr="00E066FC">
        <w:t xml:space="preserve">to proportions </w:t>
      </w:r>
      <m:oMath>
        <m:sSub>
          <m:sSubPr>
            <m:ctrlPr>
              <w:rPr>
                <w:rFonts w:ascii="Cambria Math" w:hAnsi="Cambria Math"/>
                <w:i/>
              </w:rPr>
            </m:ctrlPr>
          </m:sSubPr>
          <m:e>
            <m:r>
              <w:rPr>
                <w:rFonts w:ascii="Cambria Math" w:hAnsi="Cambria Math"/>
              </w:rPr>
              <m:t>f</m:t>
            </m:r>
          </m:e>
          <m:sub>
            <m:r>
              <w:rPr>
                <w:rFonts w:ascii="Cambria Math" w:hAnsi="Cambria Math"/>
              </w:rPr>
              <m:t>HC</m:t>
            </m:r>
          </m:sub>
        </m:sSub>
      </m:oMath>
      <w:r w:rsidRPr="003F30C6">
        <w:t xml:space="preserve"> and </w:t>
      </w:r>
      <m:oMath>
        <m:sSub>
          <m:sSubPr>
            <m:ctrlPr>
              <w:rPr>
                <w:rFonts w:ascii="Cambria Math" w:hAnsi="Cambria Math"/>
                <w:i/>
              </w:rPr>
            </m:ctrlPr>
          </m:sSubPr>
          <m:e>
            <m:r>
              <w:rPr>
                <w:rFonts w:ascii="Cambria Math" w:hAnsi="Cambria Math"/>
              </w:rPr>
              <m:t>f</m:t>
            </m:r>
          </m:e>
          <m:sub>
            <m:r>
              <w:rPr>
                <w:rFonts w:ascii="Cambria Math" w:hAnsi="Cambria Math"/>
              </w:rPr>
              <m:t>AD</m:t>
            </m:r>
          </m:sub>
        </m:sSub>
      </m:oMath>
      <w:r w:rsidRPr="003F30C6">
        <w:t xml:space="preserve"> of controls and cases randomly for each gene. </w:t>
      </w:r>
      <w:r w:rsidRPr="003F30C6">
        <w:rPr>
          <w:spacing w:val="6"/>
        </w:rPr>
        <w:t xml:space="preserve">We </w:t>
      </w:r>
      <w:r w:rsidRPr="00E066FC">
        <w:t>vary</w:t>
      </w:r>
      <w:r w:rsidRPr="00E066FC">
        <w:rPr>
          <w:spacing w:val="-37"/>
        </w:rPr>
        <w:t xml:space="preserve"> </w:t>
      </w:r>
      <w:r w:rsidRPr="00E066FC">
        <w:t>the</w:t>
      </w:r>
    </w:p>
    <w:p w14:paraId="60D55EF8" w14:textId="77777777" w:rsidR="004B5D5A" w:rsidRPr="00C84AF4" w:rsidRDefault="004B5D5A" w:rsidP="004B5D5A">
      <w:pPr>
        <w:pStyle w:val="Szvegtrzs"/>
        <w:spacing w:line="248" w:lineRule="exact"/>
        <w:ind w:right="4"/>
        <w:jc w:val="both"/>
      </w:pPr>
      <w:r w:rsidRPr="00C84AF4">
        <w:t>gene-level mutation frequencies in the following ranges:</w:t>
      </w:r>
    </w:p>
    <w:p w14:paraId="74A92F66" w14:textId="77777777" w:rsidR="004B5D5A" w:rsidRPr="00422D75" w:rsidRDefault="004B5D5A" w:rsidP="004B5D5A">
      <w:pPr>
        <w:pStyle w:val="Szvegtrzs"/>
        <w:numPr>
          <w:ilvl w:val="0"/>
          <w:numId w:val="3"/>
        </w:numPr>
        <w:ind w:right="4"/>
        <w:jc w:val="both"/>
      </w:pPr>
      <w:r w:rsidRPr="00422D75">
        <w:t xml:space="preserve">mutation frequency in controls </w:t>
      </w:r>
      <m:oMath>
        <m:sSub>
          <m:sSubPr>
            <m:ctrlPr>
              <w:rPr>
                <w:rFonts w:ascii="Cambria Math" w:hAnsi="Cambria Math"/>
                <w:i/>
              </w:rPr>
            </m:ctrlPr>
          </m:sSubPr>
          <m:e>
            <m:r>
              <w:rPr>
                <w:rFonts w:ascii="Cambria Math" w:hAnsi="Cambria Math"/>
              </w:rPr>
              <m:t>f</m:t>
            </m:r>
          </m:e>
          <m:sub>
            <m:r>
              <w:rPr>
                <w:rFonts w:ascii="Cambria Math" w:hAnsi="Cambria Math"/>
              </w:rPr>
              <m:t>HC</m:t>
            </m:r>
          </m:sub>
        </m:sSub>
        <m:r>
          <w:rPr>
            <w:rFonts w:ascii="Cambria Math" w:hAnsi="Cambria Math"/>
          </w:rPr>
          <m:t>∈</m:t>
        </m:r>
        <m:d>
          <m:dPr>
            <m:begChr m:val="{"/>
            <m:endChr m:val="}"/>
            <m:ctrlPr>
              <w:rPr>
                <w:rFonts w:ascii="Cambria Math" w:hAnsi="Cambria Math"/>
                <w:i/>
              </w:rPr>
            </m:ctrlPr>
          </m:dPr>
          <m:e>
            <m:r>
              <w:rPr>
                <w:rFonts w:ascii="Cambria Math" w:hAnsi="Cambria Math"/>
              </w:rPr>
              <m:t>0;0.1;0.5</m:t>
            </m:r>
          </m:e>
        </m:d>
        <m:r>
          <w:rPr>
            <w:rFonts w:ascii="Cambria Math" w:hAnsi="Cambria Math"/>
          </w:rPr>
          <m:t>%</m:t>
        </m:r>
      </m:oMath>
    </w:p>
    <w:p w14:paraId="198C5E0F" w14:textId="77777777" w:rsidR="004B5D5A" w:rsidRPr="00422D75" w:rsidRDefault="004B5D5A" w:rsidP="004B5D5A">
      <w:pPr>
        <w:pStyle w:val="Szvegtrzs"/>
        <w:numPr>
          <w:ilvl w:val="0"/>
          <w:numId w:val="3"/>
        </w:numPr>
        <w:ind w:right="4"/>
        <w:jc w:val="both"/>
      </w:pPr>
      <w:r w:rsidRPr="00422D75">
        <w:t xml:space="preserve">mutation frequency in AD cases </w:t>
      </w:r>
      <m:oMath>
        <m:sSub>
          <m:sSubPr>
            <m:ctrlPr>
              <w:rPr>
                <w:rFonts w:ascii="Cambria Math" w:hAnsi="Cambria Math"/>
                <w:i/>
              </w:rPr>
            </m:ctrlPr>
          </m:sSubPr>
          <m:e>
            <m:r>
              <w:rPr>
                <w:rFonts w:ascii="Cambria Math" w:hAnsi="Cambria Math"/>
              </w:rPr>
              <m:t>f</m:t>
            </m:r>
          </m:e>
          <m:sub>
            <m:r>
              <w:rPr>
                <w:rFonts w:ascii="Cambria Math" w:hAnsi="Cambria Math"/>
              </w:rPr>
              <m:t>AD</m:t>
            </m:r>
          </m:sub>
        </m:sSub>
        <m:d>
          <m:dPr>
            <m:begChr m:val="{"/>
            <m:endChr m:val="}"/>
            <m:ctrlPr>
              <w:rPr>
                <w:rFonts w:ascii="Cambria Math" w:hAnsi="Cambria Math"/>
                <w:i/>
              </w:rPr>
            </m:ctrlPr>
          </m:dPr>
          <m:e>
            <m:r>
              <w:rPr>
                <w:rFonts w:ascii="Cambria Math" w:hAnsi="Cambria Math"/>
              </w:rPr>
              <m:t>0.1;0.5;1</m:t>
            </m:r>
          </m:e>
        </m:d>
        <m:r>
          <w:rPr>
            <w:rFonts w:ascii="Cambria Math" w:hAnsi="Cambria Math"/>
          </w:rPr>
          <m:t>%</m:t>
        </m:r>
      </m:oMath>
    </w:p>
    <w:p w14:paraId="39011E9F" w14:textId="77777777" w:rsidR="004B5D5A" w:rsidRPr="00C84AF4" w:rsidRDefault="004B5D5A" w:rsidP="004B5D5A">
      <w:pPr>
        <w:pStyle w:val="Szvegtrzs"/>
        <w:spacing w:line="280" w:lineRule="auto"/>
        <w:ind w:right="4"/>
        <w:jc w:val="both"/>
      </w:pPr>
      <w:r w:rsidRPr="00C84AF4">
        <w:t>Additionally, we simulate three different scenarios for the propagation of mutation signals:</w:t>
      </w:r>
    </w:p>
    <w:p w14:paraId="7B0083F0" w14:textId="77777777" w:rsidR="004B5D5A" w:rsidRPr="00C84AF4" w:rsidRDefault="004B5D5A" w:rsidP="004B5D5A">
      <w:pPr>
        <w:pStyle w:val="Listaszerbekezds"/>
        <w:numPr>
          <w:ilvl w:val="0"/>
          <w:numId w:val="1"/>
        </w:numPr>
        <w:tabs>
          <w:tab w:val="left" w:pos="821"/>
        </w:tabs>
        <w:spacing w:line="246" w:lineRule="exact"/>
        <w:ind w:right="4"/>
        <w:jc w:val="both"/>
      </w:pPr>
      <w:r w:rsidRPr="00C84AF4">
        <w:t>only the first neighbours of the hub gene are</w:t>
      </w:r>
      <w:r w:rsidRPr="00C84AF4">
        <w:rPr>
          <w:spacing w:val="-18"/>
        </w:rPr>
        <w:t xml:space="preserve"> </w:t>
      </w:r>
      <w:proofErr w:type="gramStart"/>
      <w:r w:rsidRPr="00C84AF4">
        <w:t>mutated;</w:t>
      </w:r>
      <w:proofErr w:type="gramEnd"/>
    </w:p>
    <w:p w14:paraId="5DD287A5" w14:textId="77777777" w:rsidR="004B5D5A" w:rsidRPr="00C84AF4" w:rsidRDefault="004B5D5A" w:rsidP="004B5D5A">
      <w:pPr>
        <w:pStyle w:val="Listaszerbekezds"/>
        <w:numPr>
          <w:ilvl w:val="0"/>
          <w:numId w:val="1"/>
        </w:numPr>
        <w:tabs>
          <w:tab w:val="left" w:pos="821"/>
        </w:tabs>
        <w:spacing w:before="37"/>
        <w:ind w:right="4"/>
        <w:jc w:val="both"/>
      </w:pPr>
      <w:r w:rsidRPr="00C84AF4">
        <w:t>only the second neighbours of the hub gene are</w:t>
      </w:r>
      <w:r w:rsidRPr="00C84AF4">
        <w:rPr>
          <w:spacing w:val="-15"/>
        </w:rPr>
        <w:t xml:space="preserve"> </w:t>
      </w:r>
      <w:proofErr w:type="gramStart"/>
      <w:r w:rsidRPr="00C84AF4">
        <w:t>mutated;</w:t>
      </w:r>
      <w:proofErr w:type="gramEnd"/>
    </w:p>
    <w:p w14:paraId="70AAAFB6" w14:textId="77777777" w:rsidR="004B5D5A" w:rsidRPr="00C84AF4" w:rsidRDefault="004B5D5A" w:rsidP="004B5D5A">
      <w:pPr>
        <w:pStyle w:val="Listaszerbekezds"/>
        <w:numPr>
          <w:ilvl w:val="0"/>
          <w:numId w:val="1"/>
        </w:numPr>
        <w:tabs>
          <w:tab w:val="left" w:pos="821"/>
        </w:tabs>
        <w:spacing w:before="37"/>
        <w:ind w:right="4"/>
        <w:jc w:val="both"/>
      </w:pPr>
      <w:r w:rsidRPr="00C84AF4">
        <w:t>both first and second neighbours are mutated (realistic</w:t>
      </w:r>
      <w:r w:rsidRPr="00C84AF4">
        <w:rPr>
          <w:spacing w:val="-18"/>
        </w:rPr>
        <w:t xml:space="preserve"> </w:t>
      </w:r>
      <w:r w:rsidRPr="00C84AF4">
        <w:t>scenario).</w:t>
      </w:r>
    </w:p>
    <w:p w14:paraId="5F23D319" w14:textId="77777777" w:rsidR="004B5D5A" w:rsidRDefault="004B5D5A" w:rsidP="004B5D5A">
      <w:pPr>
        <w:pStyle w:val="Szvegtrzs"/>
        <w:spacing w:before="38" w:line="280" w:lineRule="auto"/>
        <w:ind w:right="4"/>
        <w:jc w:val="both"/>
      </w:pPr>
      <w:r w:rsidRPr="00C84AF4">
        <w:t>This results in 27 synthetic mutation profiles generated. This is repeated also allowing the hub</w:t>
      </w:r>
      <w:r w:rsidRPr="00E066FC">
        <w:t xml:space="preserve"> gene to be mutated.</w:t>
      </w:r>
    </w:p>
    <w:p w14:paraId="7C665B31" w14:textId="77777777" w:rsidR="004B5D5A" w:rsidRPr="00E066FC" w:rsidRDefault="004B5D5A" w:rsidP="004B5D5A">
      <w:pPr>
        <w:pStyle w:val="Szvegtrzs"/>
        <w:spacing w:before="38" w:line="280" w:lineRule="auto"/>
        <w:ind w:right="4"/>
        <w:jc w:val="both"/>
      </w:pPr>
    </w:p>
    <w:p w14:paraId="7DC56354" w14:textId="77777777" w:rsidR="004B5D5A" w:rsidRPr="00E066FC" w:rsidRDefault="004B5D5A" w:rsidP="004B5D5A">
      <w:pPr>
        <w:pStyle w:val="Szvegtrzs"/>
        <w:spacing w:line="276" w:lineRule="auto"/>
        <w:ind w:left="0" w:right="4"/>
        <w:jc w:val="both"/>
      </w:pPr>
      <w:r w:rsidRPr="00E066FC">
        <w:rPr>
          <w:b/>
          <w:i/>
        </w:rPr>
        <w:t>Level 3:</w:t>
      </w:r>
      <w:r w:rsidRPr="00E066FC">
        <w:rPr>
          <w:i/>
        </w:rPr>
        <w:t xml:space="preserve"> </w:t>
      </w:r>
      <w:r w:rsidRPr="00E066FC">
        <w:t>for each of the 27 previously generated synthetic mutation profiles, network propagation is run by varying:</w:t>
      </w:r>
    </w:p>
    <w:p w14:paraId="18808986" w14:textId="77777777" w:rsidR="004B5D5A" w:rsidRPr="003F30C6" w:rsidRDefault="004B5D5A" w:rsidP="004B5D5A">
      <w:pPr>
        <w:pStyle w:val="Szvegtrzs"/>
        <w:numPr>
          <w:ilvl w:val="0"/>
          <w:numId w:val="2"/>
        </w:numPr>
        <w:spacing w:line="276" w:lineRule="auto"/>
        <w:ind w:right="4"/>
        <w:jc w:val="both"/>
      </w:pPr>
      <w:r w:rsidRPr="00E066FC">
        <w:t xml:space="preserve">the diffusion length </w:t>
      </w:r>
      <m:oMath>
        <m:r>
          <w:rPr>
            <w:rFonts w:ascii="Cambria Math" w:hAnsi="Cambria Math"/>
          </w:rPr>
          <m:t>α∈</m:t>
        </m:r>
        <m:d>
          <m:dPr>
            <m:begChr m:val="{"/>
            <m:endChr m:val="}"/>
            <m:ctrlPr>
              <w:rPr>
                <w:rFonts w:ascii="Cambria Math" w:hAnsi="Cambria Math"/>
                <w:i/>
              </w:rPr>
            </m:ctrlPr>
          </m:dPr>
          <m:e>
            <m:r>
              <w:rPr>
                <w:rFonts w:ascii="Cambria Math" w:hAnsi="Cambria Math"/>
              </w:rPr>
              <m:t>0;0.25;0.5;0.75;0.9</m:t>
            </m:r>
          </m:e>
        </m:d>
        <m:r>
          <w:rPr>
            <w:rFonts w:ascii="Cambria Math" w:hAnsi="Cambria Math"/>
          </w:rPr>
          <m:t>;</m:t>
        </m:r>
      </m:oMath>
    </w:p>
    <w:p w14:paraId="1628A4D6" w14:textId="1F51E41A" w:rsidR="004B5D5A" w:rsidRPr="00E066FC" w:rsidRDefault="004B5D5A" w:rsidP="004B5D5A">
      <w:pPr>
        <w:pStyle w:val="Szvegtrzs"/>
        <w:numPr>
          <w:ilvl w:val="0"/>
          <w:numId w:val="2"/>
        </w:numPr>
        <w:spacing w:line="276" w:lineRule="auto"/>
        <w:ind w:right="4"/>
        <w:jc w:val="both"/>
      </w:pPr>
      <w:r w:rsidRPr="00E066FC">
        <w:t xml:space="preserve">whether quantile </w:t>
      </w:r>
      <w:proofErr w:type="spellStart"/>
      <w:r w:rsidRPr="00E066FC">
        <w:t>normalisation</w:t>
      </w:r>
      <w:proofErr w:type="spellEnd"/>
      <w:r w:rsidRPr="00E066FC">
        <w:t xml:space="preserve"> is applied or not to the final smooth profile.  Quantile </w:t>
      </w:r>
      <w:proofErr w:type="spellStart"/>
      <w:r w:rsidRPr="00E066FC">
        <w:t>normalisation</w:t>
      </w:r>
      <w:proofErr w:type="spellEnd"/>
      <w:r w:rsidRPr="00E066FC">
        <w:t xml:space="preserve"> was used in </w:t>
      </w:r>
      <w:proofErr w:type="spellStart"/>
      <w:r w:rsidRPr="00E066FC">
        <w:t>Hofree</w:t>
      </w:r>
      <w:proofErr w:type="spellEnd"/>
      <w:r w:rsidRPr="00E066FC">
        <w:t xml:space="preserve"> et al. </w:t>
      </w:r>
      <w:r w:rsidR="002476B6">
        <w:t>[</w:t>
      </w:r>
      <w:r w:rsidRPr="00E066FC">
        <w:t>7</w:t>
      </w:r>
      <w:r w:rsidR="002476B6">
        <w:t>]</w:t>
      </w:r>
      <w:r w:rsidRPr="00E066FC">
        <w:t xml:space="preserve"> for clustering purposes; however,</w:t>
      </w:r>
      <w:r w:rsidRPr="00E066FC">
        <w:rPr>
          <w:spacing w:val="-6"/>
        </w:rPr>
        <w:t xml:space="preserve"> </w:t>
      </w:r>
      <w:r w:rsidRPr="00E066FC">
        <w:rPr>
          <w:spacing w:val="2"/>
        </w:rPr>
        <w:t>we</w:t>
      </w:r>
      <w:r w:rsidRPr="00E066FC">
        <w:rPr>
          <w:spacing w:val="-6"/>
        </w:rPr>
        <w:t xml:space="preserve"> </w:t>
      </w:r>
      <w:r w:rsidRPr="00E066FC">
        <w:t>sought</w:t>
      </w:r>
      <w:r w:rsidRPr="00E066FC">
        <w:rPr>
          <w:spacing w:val="-5"/>
        </w:rPr>
        <w:t xml:space="preserve"> </w:t>
      </w:r>
      <w:r w:rsidRPr="00E066FC">
        <w:t>to</w:t>
      </w:r>
      <w:r w:rsidRPr="00E066FC">
        <w:rPr>
          <w:spacing w:val="-2"/>
        </w:rPr>
        <w:t xml:space="preserve"> </w:t>
      </w:r>
      <w:r w:rsidRPr="00E066FC">
        <w:t>assess</w:t>
      </w:r>
      <w:r w:rsidRPr="00E066FC">
        <w:rPr>
          <w:spacing w:val="1"/>
        </w:rPr>
        <w:t xml:space="preserve"> </w:t>
      </w:r>
      <w:r w:rsidRPr="00E066FC">
        <w:t>its</w:t>
      </w:r>
      <w:r w:rsidRPr="00E066FC">
        <w:rPr>
          <w:spacing w:val="-5"/>
        </w:rPr>
        <w:t xml:space="preserve"> </w:t>
      </w:r>
      <w:r w:rsidRPr="00E066FC">
        <w:t>impact</w:t>
      </w:r>
      <w:r w:rsidRPr="00E066FC">
        <w:rPr>
          <w:spacing w:val="-5"/>
        </w:rPr>
        <w:t xml:space="preserve"> </w:t>
      </w:r>
      <w:r w:rsidRPr="00E066FC">
        <w:t>for</w:t>
      </w:r>
      <w:r w:rsidRPr="00E066FC">
        <w:rPr>
          <w:spacing w:val="-2"/>
        </w:rPr>
        <w:t xml:space="preserve"> </w:t>
      </w:r>
      <w:r w:rsidRPr="00E066FC">
        <w:t>the</w:t>
      </w:r>
      <w:r w:rsidRPr="00E066FC">
        <w:rPr>
          <w:spacing w:val="-7"/>
        </w:rPr>
        <w:t xml:space="preserve"> </w:t>
      </w:r>
      <w:r w:rsidRPr="00E066FC">
        <w:t>purpose</w:t>
      </w:r>
      <w:r w:rsidRPr="00E066FC">
        <w:rPr>
          <w:spacing w:val="-6"/>
        </w:rPr>
        <w:t xml:space="preserve"> </w:t>
      </w:r>
      <w:r w:rsidRPr="00E066FC">
        <w:t>of</w:t>
      </w:r>
      <w:r w:rsidRPr="00E066FC">
        <w:rPr>
          <w:spacing w:val="-1"/>
        </w:rPr>
        <w:t xml:space="preserve"> </w:t>
      </w:r>
      <w:r w:rsidRPr="00E066FC">
        <w:t>association</w:t>
      </w:r>
      <w:r w:rsidRPr="00E066FC">
        <w:rPr>
          <w:spacing w:val="-6"/>
        </w:rPr>
        <w:t xml:space="preserve"> </w:t>
      </w:r>
      <w:r w:rsidRPr="00E066FC">
        <w:t>testing.</w:t>
      </w:r>
    </w:p>
    <w:p w14:paraId="30486056" w14:textId="77777777" w:rsidR="004B5D5A" w:rsidRPr="00E066FC" w:rsidRDefault="004B5D5A" w:rsidP="004B5D5A">
      <w:pPr>
        <w:pStyle w:val="Szvegtrzs"/>
        <w:spacing w:line="276" w:lineRule="auto"/>
        <w:ind w:left="0" w:right="4"/>
        <w:jc w:val="both"/>
      </w:pPr>
      <w:r w:rsidRPr="00E066FC">
        <w:t>Lastly, after network propagation was run with the selected set of parameters on the simulated data, the smoothed score for the hub gene was tested for difference between cases and controls with a Wilcoxon rank-sum test. Statistical significance was established at p &lt; 0.05.</w:t>
      </w:r>
    </w:p>
    <w:p w14:paraId="63A49EBA" w14:textId="77777777" w:rsidR="004B5D5A" w:rsidRPr="00E066FC" w:rsidRDefault="004B5D5A" w:rsidP="004B5D5A">
      <w:pPr>
        <w:pStyle w:val="Szvegtrzs"/>
        <w:spacing w:before="2"/>
        <w:ind w:left="0" w:right="4"/>
        <w:jc w:val="both"/>
        <w:rPr>
          <w:sz w:val="25"/>
        </w:rPr>
      </w:pPr>
    </w:p>
    <w:p w14:paraId="3D6A3D75" w14:textId="77777777" w:rsidR="004B5D5A" w:rsidRPr="00422D75" w:rsidRDefault="004B5D5A" w:rsidP="004B5D5A">
      <w:pPr>
        <w:pStyle w:val="Cmsor1"/>
        <w:ind w:right="4"/>
        <w:jc w:val="both"/>
        <w:rPr>
          <w:rFonts w:ascii="Arial" w:hAnsi="Arial" w:cs="Arial"/>
          <w:sz w:val="24"/>
          <w:szCs w:val="24"/>
        </w:rPr>
      </w:pPr>
      <w:r w:rsidRPr="00422D75">
        <w:rPr>
          <w:rFonts w:ascii="Arial" w:hAnsi="Arial" w:cs="Arial"/>
          <w:sz w:val="24"/>
          <w:szCs w:val="24"/>
        </w:rPr>
        <w:t>Differential gene expression analysis</w:t>
      </w:r>
    </w:p>
    <w:p w14:paraId="2FC47CF5" w14:textId="2B2E666C" w:rsidR="004B5D5A" w:rsidRPr="00E066FC" w:rsidRDefault="004B5D5A" w:rsidP="004B5D5A">
      <w:pPr>
        <w:pStyle w:val="Szvegtrzs"/>
        <w:spacing w:before="79" w:line="276" w:lineRule="auto"/>
        <w:ind w:left="0" w:right="4"/>
        <w:jc w:val="both"/>
      </w:pPr>
      <w:r w:rsidRPr="003F30C6">
        <w:t>RNA sequencing and processing at the Mayo Clinic Brain Bank was described in detail elsewhere (</w:t>
      </w:r>
      <w:r w:rsidR="002476B6">
        <w:t>[</w:t>
      </w:r>
      <w:r w:rsidRPr="003F30C6">
        <w:t>8</w:t>
      </w:r>
      <w:r w:rsidR="002476B6">
        <w:t>]</w:t>
      </w:r>
      <w:r w:rsidRPr="003F30C6">
        <w:t xml:space="preserve"> and </w:t>
      </w:r>
      <w:hyperlink r:id="rId6" w:anchor="!Synapse%3Asyn3163039">
        <w:r w:rsidRPr="003F30C6">
          <w:rPr>
            <w:u w:val="single"/>
          </w:rPr>
          <w:t>https://www.synaps</w:t>
        </w:r>
        <w:r w:rsidRPr="00E066FC">
          <w:rPr>
            <w:u w:val="single"/>
          </w:rPr>
          <w:t>e.org/#!Synapse:syn3163039</w:t>
        </w:r>
        <w:r w:rsidRPr="00E066FC">
          <w:t xml:space="preserve"> </w:t>
        </w:r>
      </w:hyperlink>
      <w:r w:rsidRPr="003F30C6">
        <w:t xml:space="preserve">). Each sample was assigned one of the following pathological diagnoses: Alzheimer’s disease (AD, N=84), progressive supranuclear palsy (PSP, N=84), pathologic aging (PA, N=30), and control (HC, N=80). We only focused on differential expression analysis for HC vs AD (total N = 156 after </w:t>
      </w:r>
      <w:r w:rsidRPr="003F30C6">
        <w:lastRenderedPageBreak/>
        <w:t>sample QC). Normalized read counts were assessed for differential expression between diagnosis groups, using multi-variable linear regression adjusting for key covariates. Two models were run for each comparison called “Simple” (syn6090804) and “Comprehensive” (syn6090803). The simple model includes as covariates: age at death, sex, RNA integrity number (RIN), Source and FLOWCELL (syn3817650). The comprehensive model includes the same covariates pl</w:t>
      </w:r>
      <w:r w:rsidRPr="00E066FC">
        <w:t xml:space="preserve">us normalized counts for 5 genes as surrogate variables for relevant cell types as follows: </w:t>
      </w:r>
      <w:r w:rsidRPr="00E066FC">
        <w:rPr>
          <w:i/>
        </w:rPr>
        <w:t xml:space="preserve">CD68 </w:t>
      </w:r>
      <w:r w:rsidRPr="00E066FC">
        <w:t xml:space="preserve">(Microglia), </w:t>
      </w:r>
      <w:r w:rsidRPr="00E066FC">
        <w:rPr>
          <w:i/>
        </w:rPr>
        <w:t xml:space="preserve">CD34 </w:t>
      </w:r>
      <w:r w:rsidRPr="00E066FC">
        <w:t xml:space="preserve">(Endothelial cells), </w:t>
      </w:r>
      <w:r w:rsidRPr="00E066FC">
        <w:rPr>
          <w:i/>
        </w:rPr>
        <w:t xml:space="preserve">OLIG2 </w:t>
      </w:r>
      <w:r w:rsidRPr="00E066FC">
        <w:t xml:space="preserve">(Oligodendroglia), </w:t>
      </w:r>
      <w:r w:rsidRPr="00E066FC">
        <w:rPr>
          <w:i/>
        </w:rPr>
        <w:t xml:space="preserve">GFAP </w:t>
      </w:r>
      <w:r w:rsidRPr="00E066FC">
        <w:t xml:space="preserve">(Astrocytes) and </w:t>
      </w:r>
      <w:r w:rsidRPr="00E066FC">
        <w:rPr>
          <w:i/>
        </w:rPr>
        <w:t xml:space="preserve">ENO2 </w:t>
      </w:r>
      <w:r w:rsidRPr="00E066FC">
        <w:t>(Neurons).</w:t>
      </w:r>
    </w:p>
    <w:p w14:paraId="1FFA9979" w14:textId="28F71795" w:rsidR="004B5D5A" w:rsidRDefault="004B5D5A" w:rsidP="004B5D5A">
      <w:pPr>
        <w:pStyle w:val="Szvegtrzs"/>
        <w:spacing w:before="3" w:line="276" w:lineRule="auto"/>
        <w:ind w:right="4" w:firstLine="720"/>
        <w:jc w:val="both"/>
      </w:pPr>
      <w:r w:rsidRPr="00E066FC">
        <w:t>RNA sequencing and processing at the Mount Sinai Brain Bank was described in detail elsewhere (</w:t>
      </w:r>
      <w:r w:rsidR="002476B6">
        <w:t>[</w:t>
      </w:r>
      <w:r w:rsidRPr="00E066FC">
        <w:t>9</w:t>
      </w:r>
      <w:r w:rsidR="002476B6">
        <w:t>]</w:t>
      </w:r>
      <w:r w:rsidRPr="00E066FC">
        <w:t xml:space="preserve"> and </w:t>
      </w:r>
      <w:hyperlink r:id="rId7" w:anchor="!Synapse%3Asyn3157743">
        <w:r w:rsidRPr="003F30C6">
          <w:rPr>
            <w:u w:val="single"/>
          </w:rPr>
          <w:t>https://www.synapse.org/#!Synapse:syn3157743</w:t>
        </w:r>
      </w:hyperlink>
      <w:r w:rsidRPr="003F30C6">
        <w:t xml:space="preserve">). Gene expression levels were </w:t>
      </w:r>
      <w:proofErr w:type="spellStart"/>
      <w:r w:rsidRPr="003F30C6">
        <w:t>normalised</w:t>
      </w:r>
      <w:proofErr w:type="spellEnd"/>
      <w:r w:rsidRPr="003F30C6">
        <w:t xml:space="preserve"> by regressing out the effect of sex, race, age at death, post-mortem interval, RIN, </w:t>
      </w:r>
      <w:proofErr w:type="spellStart"/>
      <w:r w:rsidRPr="003F30C6">
        <w:t>exonic</w:t>
      </w:r>
      <w:proofErr w:type="spellEnd"/>
      <w:r w:rsidRPr="003F30C6">
        <w:t xml:space="preserve"> rate, rRNA rate and batch. The accession code for </w:t>
      </w:r>
      <w:proofErr w:type="spellStart"/>
      <w:r w:rsidRPr="003F30C6">
        <w:t>normalised</w:t>
      </w:r>
      <w:proofErr w:type="spellEnd"/>
      <w:r w:rsidRPr="003F30C6">
        <w:t xml:space="preserve"> expression levels in Brodmann area 36 is syn16795937. We also downloaded RNA-seq covariates (syn6100548) and post-mortem clinical assessments (syn6101474). E</w:t>
      </w:r>
      <w:r w:rsidRPr="00E066FC">
        <w:t xml:space="preserve">ach sample was assigned a neuropathology category according to the Consortium to Establish a Registry for Alzheimer's Disease (CERAD) protocol (1=normal, 2=definite AD, 3=probable AD, 4=possible AD) </w:t>
      </w:r>
      <w:r w:rsidR="002476B6">
        <w:t>[</w:t>
      </w:r>
      <w:r w:rsidRPr="00E066FC">
        <w:t>10</w:t>
      </w:r>
      <w:r w:rsidR="002476B6">
        <w:t>]</w:t>
      </w:r>
      <w:r w:rsidRPr="00E066FC">
        <w:t>.</w:t>
      </w:r>
    </w:p>
    <w:p w14:paraId="424238C0" w14:textId="01880228" w:rsidR="002476B6" w:rsidRDefault="002476B6" w:rsidP="002476B6">
      <w:pPr>
        <w:pStyle w:val="Szvegtrzs"/>
        <w:spacing w:before="3" w:line="276" w:lineRule="auto"/>
        <w:ind w:right="4"/>
        <w:jc w:val="both"/>
      </w:pPr>
    </w:p>
    <w:p w14:paraId="59C77B4B" w14:textId="54D1C004" w:rsidR="002476B6" w:rsidRDefault="002476B6" w:rsidP="002476B6">
      <w:pPr>
        <w:pStyle w:val="Szvegtrzs"/>
        <w:spacing w:before="3" w:line="276" w:lineRule="auto"/>
        <w:ind w:right="4"/>
        <w:jc w:val="both"/>
      </w:pPr>
    </w:p>
    <w:p w14:paraId="0DC0419B" w14:textId="7A1FEF70" w:rsidR="002476B6" w:rsidRPr="00F32299" w:rsidRDefault="002476B6" w:rsidP="002476B6">
      <w:pPr>
        <w:pStyle w:val="Szvegtrzs"/>
        <w:spacing w:before="3" w:line="276" w:lineRule="auto"/>
        <w:ind w:right="4"/>
        <w:jc w:val="both"/>
        <w:rPr>
          <w:b/>
        </w:rPr>
      </w:pPr>
      <w:r w:rsidRPr="00F32299">
        <w:rPr>
          <w:b/>
        </w:rPr>
        <w:t>References</w:t>
      </w:r>
    </w:p>
    <w:p w14:paraId="04170732" w14:textId="3C5BC612" w:rsidR="002476B6" w:rsidRPr="002476B6" w:rsidRDefault="002476B6" w:rsidP="002476B6">
      <w:pPr>
        <w:pStyle w:val="Szvegtrzs"/>
        <w:spacing w:before="3" w:line="276" w:lineRule="auto"/>
        <w:ind w:right="4"/>
        <w:jc w:val="both"/>
      </w:pPr>
      <w:r>
        <w:t>1</w:t>
      </w:r>
      <w:r w:rsidR="00F102ED">
        <w:t>.</w:t>
      </w:r>
      <w:r>
        <w:t xml:space="preserve"> </w:t>
      </w:r>
      <w:proofErr w:type="spellStart"/>
      <w:r w:rsidRPr="002476B6">
        <w:t>Saykin</w:t>
      </w:r>
      <w:proofErr w:type="spellEnd"/>
      <w:r w:rsidRPr="002476B6">
        <w:t xml:space="preserve"> AJ, et al. (2015) Genetic studies of quantitative MCI and AD phenotypes in ADNI: Progress, opportunities, and plans. </w:t>
      </w:r>
      <w:r w:rsidRPr="002476B6">
        <w:rPr>
          <w:i/>
        </w:rPr>
        <w:t xml:space="preserve">Alzheimer’s Dement </w:t>
      </w:r>
      <w:r w:rsidRPr="002476B6">
        <w:t xml:space="preserve">11(7). </w:t>
      </w:r>
      <w:proofErr w:type="gramStart"/>
      <w:r w:rsidRPr="002476B6">
        <w:t>doi:10.1016/j.jalz</w:t>
      </w:r>
      <w:proofErr w:type="gramEnd"/>
      <w:r w:rsidRPr="002476B6">
        <w:t>.2015.05.009.</w:t>
      </w:r>
    </w:p>
    <w:p w14:paraId="027BA9FD" w14:textId="203330ED" w:rsidR="002476B6" w:rsidRPr="002476B6" w:rsidRDefault="002476B6" w:rsidP="002476B6">
      <w:pPr>
        <w:pStyle w:val="Szvegtrzs"/>
        <w:spacing w:before="3" w:line="276" w:lineRule="auto"/>
        <w:ind w:right="4"/>
        <w:jc w:val="both"/>
      </w:pPr>
      <w:r>
        <w:t>2</w:t>
      </w:r>
      <w:r w:rsidR="00F102ED">
        <w:t>.</w:t>
      </w:r>
      <w:r>
        <w:t xml:space="preserve"> </w:t>
      </w:r>
      <w:r w:rsidRPr="002476B6">
        <w:t xml:space="preserve">Li H, Durbin R (2009) Fast and accurate short read alignment with Burrows- Wheeler transform. </w:t>
      </w:r>
      <w:r w:rsidRPr="002476B6">
        <w:rPr>
          <w:i/>
        </w:rPr>
        <w:t>Bioinformatics</w:t>
      </w:r>
      <w:r w:rsidRPr="002476B6">
        <w:t>. doi:10.1093/bioinformatics/btp324.</w:t>
      </w:r>
    </w:p>
    <w:p w14:paraId="5D34F173" w14:textId="637205B3" w:rsidR="002476B6" w:rsidRPr="002476B6" w:rsidRDefault="002476B6" w:rsidP="002476B6">
      <w:pPr>
        <w:pStyle w:val="Szvegtrzs"/>
        <w:spacing w:before="3" w:line="276" w:lineRule="auto"/>
        <w:ind w:right="4"/>
        <w:jc w:val="both"/>
      </w:pPr>
      <w:r>
        <w:t>3</w:t>
      </w:r>
      <w:r w:rsidR="00F102ED">
        <w:t>.</w:t>
      </w:r>
      <w:r>
        <w:t xml:space="preserve"> </w:t>
      </w:r>
      <w:proofErr w:type="spellStart"/>
      <w:r w:rsidRPr="002476B6">
        <w:t>Depristo</w:t>
      </w:r>
      <w:proofErr w:type="spellEnd"/>
      <w:r w:rsidRPr="002476B6">
        <w:t xml:space="preserve"> MA, et al. (2011) A framework for variation discovery and genotyping using next-generation DNA sequencing data. </w:t>
      </w:r>
      <w:r w:rsidRPr="002476B6">
        <w:rPr>
          <w:i/>
        </w:rPr>
        <w:t>Nat Genet</w:t>
      </w:r>
      <w:r w:rsidRPr="002476B6">
        <w:t>. doi:10.1038/ng.806.</w:t>
      </w:r>
    </w:p>
    <w:p w14:paraId="531FBEDE" w14:textId="1780062B" w:rsidR="002476B6" w:rsidRPr="002476B6" w:rsidRDefault="002476B6" w:rsidP="002476B6">
      <w:pPr>
        <w:pStyle w:val="Szvegtrzs"/>
        <w:spacing w:before="3" w:line="276" w:lineRule="auto"/>
        <w:ind w:right="4"/>
        <w:jc w:val="both"/>
      </w:pPr>
      <w:r>
        <w:t>4</w:t>
      </w:r>
      <w:r w:rsidR="00F102ED">
        <w:t>.</w:t>
      </w:r>
      <w:r>
        <w:t xml:space="preserve"> </w:t>
      </w:r>
      <w:r w:rsidRPr="002476B6">
        <w:t xml:space="preserve">Chang CC, et al. (2015) Second-generation PLINK: rising to the challenge of larger and richer datasets. </w:t>
      </w:r>
      <w:proofErr w:type="spellStart"/>
      <w:r w:rsidRPr="002476B6">
        <w:rPr>
          <w:i/>
        </w:rPr>
        <w:t>Gigascience</w:t>
      </w:r>
      <w:proofErr w:type="spellEnd"/>
      <w:r w:rsidRPr="002476B6">
        <w:rPr>
          <w:i/>
        </w:rPr>
        <w:t xml:space="preserve"> </w:t>
      </w:r>
      <w:r w:rsidRPr="002476B6">
        <w:t>4(1):7.</w:t>
      </w:r>
    </w:p>
    <w:p w14:paraId="03EA1F52" w14:textId="0218E363" w:rsidR="002476B6" w:rsidRPr="002476B6" w:rsidRDefault="002476B6" w:rsidP="002476B6">
      <w:pPr>
        <w:pStyle w:val="Szvegtrzs"/>
        <w:spacing w:before="3" w:line="276" w:lineRule="auto"/>
        <w:ind w:right="4"/>
        <w:jc w:val="both"/>
      </w:pPr>
      <w:r>
        <w:t>5</w:t>
      </w:r>
      <w:r w:rsidR="00F102ED">
        <w:t>.</w:t>
      </w:r>
      <w:r>
        <w:t xml:space="preserve"> </w:t>
      </w:r>
      <w:r w:rsidRPr="002476B6">
        <w:t xml:space="preserve">Greene CS, et al. (2015) Understanding multicellular function and disease with human tissue-specific networks. </w:t>
      </w:r>
      <w:r w:rsidRPr="002476B6">
        <w:rPr>
          <w:i/>
        </w:rPr>
        <w:t xml:space="preserve">Nat Genet </w:t>
      </w:r>
      <w:r w:rsidRPr="002476B6">
        <w:t>47(6):569–76.</w:t>
      </w:r>
    </w:p>
    <w:p w14:paraId="47C04A01" w14:textId="6BA1B2EC" w:rsidR="002476B6" w:rsidRPr="002476B6" w:rsidRDefault="002476B6" w:rsidP="002476B6">
      <w:pPr>
        <w:pStyle w:val="Szvegtrzs"/>
        <w:spacing w:before="3" w:line="276" w:lineRule="auto"/>
        <w:ind w:right="4"/>
        <w:jc w:val="both"/>
      </w:pPr>
      <w:r>
        <w:t>6</w:t>
      </w:r>
      <w:r w:rsidR="00F102ED">
        <w:t>.</w:t>
      </w:r>
      <w:r>
        <w:t xml:space="preserve"> </w:t>
      </w:r>
      <w:r w:rsidRPr="002476B6">
        <w:t xml:space="preserve">Hagberg AA, </w:t>
      </w:r>
      <w:proofErr w:type="spellStart"/>
      <w:r w:rsidRPr="002476B6">
        <w:t>Schult</w:t>
      </w:r>
      <w:proofErr w:type="spellEnd"/>
      <w:r w:rsidRPr="002476B6">
        <w:t xml:space="preserve"> DA, Swart PJ (2008) Exploring network structure, dynamics, and function using </w:t>
      </w:r>
      <w:proofErr w:type="spellStart"/>
      <w:r w:rsidRPr="002476B6">
        <w:t>NetworkX</w:t>
      </w:r>
      <w:proofErr w:type="spellEnd"/>
      <w:r w:rsidRPr="002476B6">
        <w:t xml:space="preserve">. </w:t>
      </w:r>
      <w:r w:rsidRPr="002476B6">
        <w:rPr>
          <w:i/>
        </w:rPr>
        <w:t xml:space="preserve">Proceedings of the 7th Python in Science Conference (SciPy) </w:t>
      </w:r>
      <w:proofErr w:type="gramStart"/>
      <w:r w:rsidRPr="002476B6">
        <w:t>doi:10.1016/j.jelectrocard</w:t>
      </w:r>
      <w:proofErr w:type="gramEnd"/>
      <w:r w:rsidRPr="002476B6">
        <w:t>.2010.09.003.</w:t>
      </w:r>
    </w:p>
    <w:p w14:paraId="36E3F190" w14:textId="167F4EE6" w:rsidR="002476B6" w:rsidRPr="002476B6" w:rsidRDefault="002476B6" w:rsidP="002476B6">
      <w:pPr>
        <w:pStyle w:val="Szvegtrzs"/>
        <w:spacing w:before="3" w:line="276" w:lineRule="auto"/>
        <w:ind w:right="4"/>
        <w:jc w:val="both"/>
      </w:pPr>
      <w:r>
        <w:t>7</w:t>
      </w:r>
      <w:r w:rsidR="00F102ED">
        <w:t>.</w:t>
      </w:r>
      <w:r>
        <w:t xml:space="preserve"> </w:t>
      </w:r>
      <w:proofErr w:type="spellStart"/>
      <w:r w:rsidRPr="002476B6">
        <w:t>Hofree</w:t>
      </w:r>
      <w:proofErr w:type="spellEnd"/>
      <w:r w:rsidRPr="002476B6">
        <w:t xml:space="preserve"> M, Shen JP, Carter H, Gross A, </w:t>
      </w:r>
      <w:proofErr w:type="spellStart"/>
      <w:r w:rsidRPr="002476B6">
        <w:t>Ideker</w:t>
      </w:r>
      <w:proofErr w:type="spellEnd"/>
      <w:r w:rsidRPr="002476B6">
        <w:t xml:space="preserve"> T (2013) Network-based stratification of tumor mutations. </w:t>
      </w:r>
      <w:r w:rsidRPr="002476B6">
        <w:rPr>
          <w:i/>
        </w:rPr>
        <w:t xml:space="preserve">Nat Methods </w:t>
      </w:r>
      <w:r w:rsidRPr="002476B6">
        <w:t>10(11):1108–1115.</w:t>
      </w:r>
    </w:p>
    <w:p w14:paraId="61B6FC0D" w14:textId="0424C8BC" w:rsidR="002476B6" w:rsidRPr="002476B6" w:rsidRDefault="002476B6" w:rsidP="002476B6">
      <w:pPr>
        <w:pStyle w:val="Szvegtrzs"/>
        <w:spacing w:before="3" w:line="276" w:lineRule="auto"/>
        <w:ind w:right="4"/>
        <w:jc w:val="both"/>
      </w:pPr>
      <w:r>
        <w:t>8</w:t>
      </w:r>
      <w:r w:rsidR="00F102ED">
        <w:t>.</w:t>
      </w:r>
      <w:r>
        <w:t xml:space="preserve"> </w:t>
      </w:r>
      <w:r w:rsidRPr="002476B6">
        <w:t xml:space="preserve">Allen M, et al. (2016) Human whole genome genotype and transcriptome data for Alzheimer’s and other neurodegenerative diseases. </w:t>
      </w:r>
      <w:r w:rsidRPr="002476B6">
        <w:rPr>
          <w:i/>
        </w:rPr>
        <w:t xml:space="preserve">Sci Data </w:t>
      </w:r>
      <w:r w:rsidRPr="002476B6">
        <w:t>3:160089.</w:t>
      </w:r>
    </w:p>
    <w:p w14:paraId="43F0574A" w14:textId="3C4BF719" w:rsidR="002476B6" w:rsidRPr="002476B6" w:rsidRDefault="002476B6" w:rsidP="002476B6">
      <w:pPr>
        <w:pStyle w:val="Szvegtrzs"/>
        <w:spacing w:before="3" w:line="276" w:lineRule="auto"/>
        <w:ind w:right="4"/>
        <w:jc w:val="both"/>
      </w:pPr>
      <w:r>
        <w:t>9</w:t>
      </w:r>
      <w:r w:rsidR="00F102ED">
        <w:t>.</w:t>
      </w:r>
      <w:r>
        <w:t xml:space="preserve"> </w:t>
      </w:r>
      <w:r w:rsidRPr="002476B6">
        <w:t xml:space="preserve">Wang M, et al. (2018) The Mount Sinai cohort of large-scale genomic, transcriptomic and proteomic data in Alzheimer’s disease. </w:t>
      </w:r>
      <w:r w:rsidRPr="002476B6">
        <w:rPr>
          <w:i/>
        </w:rPr>
        <w:t xml:space="preserve">Sci Data </w:t>
      </w:r>
      <w:r w:rsidRPr="002476B6">
        <w:t>5:180185.</w:t>
      </w:r>
    </w:p>
    <w:p w14:paraId="7651802E" w14:textId="02D780F5" w:rsidR="002476B6" w:rsidRPr="002476B6" w:rsidRDefault="002476B6" w:rsidP="002476B6">
      <w:pPr>
        <w:pStyle w:val="Szvegtrzs"/>
        <w:spacing w:before="3" w:line="276" w:lineRule="auto"/>
        <w:ind w:right="4"/>
        <w:jc w:val="both"/>
      </w:pPr>
      <w:r>
        <w:t>10</w:t>
      </w:r>
      <w:r w:rsidR="00F102ED">
        <w:t>.</w:t>
      </w:r>
      <w:r>
        <w:t xml:space="preserve"> </w:t>
      </w:r>
      <w:proofErr w:type="spellStart"/>
      <w:r w:rsidRPr="002476B6">
        <w:t>Mirra</w:t>
      </w:r>
      <w:proofErr w:type="spellEnd"/>
      <w:r w:rsidRPr="002476B6">
        <w:t xml:space="preserve"> SS, et al. (1991) The Consortium to Establish a Registry for Alzheimer’s Disease (CERAD). Part II. Standardization of the neuropathologic assessment of Alzheimer’s disease. </w:t>
      </w:r>
      <w:r w:rsidRPr="002476B6">
        <w:rPr>
          <w:i/>
        </w:rPr>
        <w:t xml:space="preserve">Neurology </w:t>
      </w:r>
      <w:r w:rsidRPr="002476B6">
        <w:t>41(4):479–86.</w:t>
      </w:r>
    </w:p>
    <w:p w14:paraId="363187BC" w14:textId="77777777" w:rsidR="002476B6" w:rsidRPr="00E066FC" w:rsidRDefault="002476B6" w:rsidP="002476B6">
      <w:pPr>
        <w:pStyle w:val="Szvegtrzs"/>
        <w:spacing w:before="3" w:line="276" w:lineRule="auto"/>
        <w:ind w:right="4"/>
        <w:jc w:val="both"/>
      </w:pPr>
    </w:p>
    <w:p w14:paraId="6BDE81F5" w14:textId="77777777" w:rsidR="00131C45" w:rsidRDefault="00131C45"/>
    <w:sectPr w:rsidR="00131C45" w:rsidSect="00582D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CE5"/>
    <w:multiLevelType w:val="hybridMultilevel"/>
    <w:tmpl w:val="16E6E34A"/>
    <w:lvl w:ilvl="0" w:tplc="20B2AFFE">
      <w:start w:val="1"/>
      <w:numFmt w:val="decimal"/>
      <w:lvlText w:val="%1."/>
      <w:lvlJc w:val="left"/>
      <w:pPr>
        <w:ind w:left="821" w:hanging="360"/>
      </w:pPr>
      <w:rPr>
        <w:rFonts w:ascii="Arial" w:eastAsia="Arial" w:hAnsi="Arial" w:cs="Arial" w:hint="default"/>
        <w:spacing w:val="-7"/>
        <w:w w:val="99"/>
        <w:sz w:val="22"/>
        <w:szCs w:val="22"/>
        <w:lang w:val="en-US" w:eastAsia="en-US" w:bidi="en-US"/>
      </w:rPr>
    </w:lvl>
    <w:lvl w:ilvl="1" w:tplc="3626983C">
      <w:numFmt w:val="bullet"/>
      <w:lvlText w:val="•"/>
      <w:lvlJc w:val="left"/>
      <w:pPr>
        <w:ind w:left="1674" w:hanging="360"/>
      </w:pPr>
      <w:rPr>
        <w:rFonts w:hint="default"/>
        <w:lang w:val="en-US" w:eastAsia="en-US" w:bidi="en-US"/>
      </w:rPr>
    </w:lvl>
    <w:lvl w:ilvl="2" w:tplc="C2AAAE42">
      <w:numFmt w:val="bullet"/>
      <w:lvlText w:val="•"/>
      <w:lvlJc w:val="left"/>
      <w:pPr>
        <w:ind w:left="2528" w:hanging="360"/>
      </w:pPr>
      <w:rPr>
        <w:rFonts w:hint="default"/>
        <w:lang w:val="en-US" w:eastAsia="en-US" w:bidi="en-US"/>
      </w:rPr>
    </w:lvl>
    <w:lvl w:ilvl="3" w:tplc="CB3C5E46">
      <w:numFmt w:val="bullet"/>
      <w:lvlText w:val="•"/>
      <w:lvlJc w:val="left"/>
      <w:pPr>
        <w:ind w:left="3382" w:hanging="360"/>
      </w:pPr>
      <w:rPr>
        <w:rFonts w:hint="default"/>
        <w:lang w:val="en-US" w:eastAsia="en-US" w:bidi="en-US"/>
      </w:rPr>
    </w:lvl>
    <w:lvl w:ilvl="4" w:tplc="380EFFEE">
      <w:numFmt w:val="bullet"/>
      <w:lvlText w:val="•"/>
      <w:lvlJc w:val="left"/>
      <w:pPr>
        <w:ind w:left="4236" w:hanging="360"/>
      </w:pPr>
      <w:rPr>
        <w:rFonts w:hint="default"/>
        <w:lang w:val="en-US" w:eastAsia="en-US" w:bidi="en-US"/>
      </w:rPr>
    </w:lvl>
    <w:lvl w:ilvl="5" w:tplc="DDA23978">
      <w:numFmt w:val="bullet"/>
      <w:lvlText w:val="•"/>
      <w:lvlJc w:val="left"/>
      <w:pPr>
        <w:ind w:left="5090" w:hanging="360"/>
      </w:pPr>
      <w:rPr>
        <w:rFonts w:hint="default"/>
        <w:lang w:val="en-US" w:eastAsia="en-US" w:bidi="en-US"/>
      </w:rPr>
    </w:lvl>
    <w:lvl w:ilvl="6" w:tplc="3E222742">
      <w:numFmt w:val="bullet"/>
      <w:lvlText w:val="•"/>
      <w:lvlJc w:val="left"/>
      <w:pPr>
        <w:ind w:left="5944" w:hanging="360"/>
      </w:pPr>
      <w:rPr>
        <w:rFonts w:hint="default"/>
        <w:lang w:val="en-US" w:eastAsia="en-US" w:bidi="en-US"/>
      </w:rPr>
    </w:lvl>
    <w:lvl w:ilvl="7" w:tplc="8AEC1CD0">
      <w:numFmt w:val="bullet"/>
      <w:lvlText w:val="•"/>
      <w:lvlJc w:val="left"/>
      <w:pPr>
        <w:ind w:left="6798" w:hanging="360"/>
      </w:pPr>
      <w:rPr>
        <w:rFonts w:hint="default"/>
        <w:lang w:val="en-US" w:eastAsia="en-US" w:bidi="en-US"/>
      </w:rPr>
    </w:lvl>
    <w:lvl w:ilvl="8" w:tplc="9908421E">
      <w:numFmt w:val="bullet"/>
      <w:lvlText w:val="•"/>
      <w:lvlJc w:val="left"/>
      <w:pPr>
        <w:ind w:left="7652" w:hanging="360"/>
      </w:pPr>
      <w:rPr>
        <w:rFonts w:hint="default"/>
        <w:lang w:val="en-US" w:eastAsia="en-US" w:bidi="en-US"/>
      </w:rPr>
    </w:lvl>
  </w:abstractNum>
  <w:abstractNum w:abstractNumId="1" w15:restartNumberingAfterBreak="0">
    <w:nsid w:val="0B05686F"/>
    <w:multiLevelType w:val="hybridMultilevel"/>
    <w:tmpl w:val="CE763C86"/>
    <w:lvl w:ilvl="0" w:tplc="4CDCEC66">
      <w:start w:val="1"/>
      <w:numFmt w:val="decimal"/>
      <w:lvlText w:val="%1."/>
      <w:lvlJc w:val="left"/>
      <w:pPr>
        <w:ind w:left="741" w:hanging="641"/>
      </w:pPr>
      <w:rPr>
        <w:rFonts w:ascii="Arial" w:eastAsia="Arial" w:hAnsi="Arial" w:cs="Arial" w:hint="default"/>
        <w:spacing w:val="-3"/>
        <w:w w:val="99"/>
        <w:sz w:val="22"/>
        <w:szCs w:val="22"/>
        <w:lang w:val="en-US" w:eastAsia="en-US" w:bidi="en-US"/>
      </w:rPr>
    </w:lvl>
    <w:lvl w:ilvl="1" w:tplc="CAF6F202">
      <w:numFmt w:val="bullet"/>
      <w:lvlText w:val="•"/>
      <w:lvlJc w:val="left"/>
      <w:pPr>
        <w:ind w:left="1602" w:hanging="641"/>
      </w:pPr>
      <w:rPr>
        <w:rFonts w:hint="default"/>
        <w:lang w:val="en-US" w:eastAsia="en-US" w:bidi="en-US"/>
      </w:rPr>
    </w:lvl>
    <w:lvl w:ilvl="2" w:tplc="C640425C">
      <w:numFmt w:val="bullet"/>
      <w:lvlText w:val="•"/>
      <w:lvlJc w:val="left"/>
      <w:pPr>
        <w:ind w:left="2464" w:hanging="641"/>
      </w:pPr>
      <w:rPr>
        <w:rFonts w:hint="default"/>
        <w:lang w:val="en-US" w:eastAsia="en-US" w:bidi="en-US"/>
      </w:rPr>
    </w:lvl>
    <w:lvl w:ilvl="3" w:tplc="2FDEB170">
      <w:numFmt w:val="bullet"/>
      <w:lvlText w:val="•"/>
      <w:lvlJc w:val="left"/>
      <w:pPr>
        <w:ind w:left="3326" w:hanging="641"/>
      </w:pPr>
      <w:rPr>
        <w:rFonts w:hint="default"/>
        <w:lang w:val="en-US" w:eastAsia="en-US" w:bidi="en-US"/>
      </w:rPr>
    </w:lvl>
    <w:lvl w:ilvl="4" w:tplc="B81239E0">
      <w:numFmt w:val="bullet"/>
      <w:lvlText w:val="•"/>
      <w:lvlJc w:val="left"/>
      <w:pPr>
        <w:ind w:left="4188" w:hanging="641"/>
      </w:pPr>
      <w:rPr>
        <w:rFonts w:hint="default"/>
        <w:lang w:val="en-US" w:eastAsia="en-US" w:bidi="en-US"/>
      </w:rPr>
    </w:lvl>
    <w:lvl w:ilvl="5" w:tplc="C68A4194">
      <w:numFmt w:val="bullet"/>
      <w:lvlText w:val="•"/>
      <w:lvlJc w:val="left"/>
      <w:pPr>
        <w:ind w:left="5050" w:hanging="641"/>
      </w:pPr>
      <w:rPr>
        <w:rFonts w:hint="default"/>
        <w:lang w:val="en-US" w:eastAsia="en-US" w:bidi="en-US"/>
      </w:rPr>
    </w:lvl>
    <w:lvl w:ilvl="6" w:tplc="3E0CB696">
      <w:numFmt w:val="bullet"/>
      <w:lvlText w:val="•"/>
      <w:lvlJc w:val="left"/>
      <w:pPr>
        <w:ind w:left="5912" w:hanging="641"/>
      </w:pPr>
      <w:rPr>
        <w:rFonts w:hint="default"/>
        <w:lang w:val="en-US" w:eastAsia="en-US" w:bidi="en-US"/>
      </w:rPr>
    </w:lvl>
    <w:lvl w:ilvl="7" w:tplc="29306370">
      <w:numFmt w:val="bullet"/>
      <w:lvlText w:val="•"/>
      <w:lvlJc w:val="left"/>
      <w:pPr>
        <w:ind w:left="6774" w:hanging="641"/>
      </w:pPr>
      <w:rPr>
        <w:rFonts w:hint="default"/>
        <w:lang w:val="en-US" w:eastAsia="en-US" w:bidi="en-US"/>
      </w:rPr>
    </w:lvl>
    <w:lvl w:ilvl="8" w:tplc="48B81F5C">
      <w:numFmt w:val="bullet"/>
      <w:lvlText w:val="•"/>
      <w:lvlJc w:val="left"/>
      <w:pPr>
        <w:ind w:left="7636" w:hanging="641"/>
      </w:pPr>
      <w:rPr>
        <w:rFonts w:hint="default"/>
        <w:lang w:val="en-US" w:eastAsia="en-US" w:bidi="en-US"/>
      </w:rPr>
    </w:lvl>
  </w:abstractNum>
  <w:abstractNum w:abstractNumId="2" w15:restartNumberingAfterBreak="0">
    <w:nsid w:val="202D1D91"/>
    <w:multiLevelType w:val="hybridMultilevel"/>
    <w:tmpl w:val="D722DF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CE81969"/>
    <w:multiLevelType w:val="hybridMultilevel"/>
    <w:tmpl w:val="0F1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5A"/>
    <w:rsid w:val="00131C45"/>
    <w:rsid w:val="002476B6"/>
    <w:rsid w:val="004B5D5A"/>
    <w:rsid w:val="00552C5D"/>
    <w:rsid w:val="00582DE7"/>
    <w:rsid w:val="00F102ED"/>
    <w:rsid w:val="00F3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38F2B3"/>
  <w15:chartTrackingRefBased/>
  <w15:docId w15:val="{6DDE7347-BEBD-704C-BAF8-4C6E6968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5D5A"/>
    <w:rPr>
      <w:rFonts w:ascii="Times New Roman" w:eastAsia="Times New Roman" w:hAnsi="Times New Roman" w:cs="Times New Roman"/>
    </w:rPr>
  </w:style>
  <w:style w:type="paragraph" w:styleId="Cmsor1">
    <w:name w:val="heading 1"/>
    <w:basedOn w:val="Norml"/>
    <w:next w:val="Norml"/>
    <w:link w:val="Cmsor1Char"/>
    <w:uiPriority w:val="9"/>
    <w:qFormat/>
    <w:rsid w:val="004B5D5A"/>
    <w:pPr>
      <w:keepNext/>
      <w:keepLines/>
      <w:spacing w:before="480" w:after="120"/>
      <w:outlineLvl w:val="0"/>
    </w:pPr>
    <w:rPr>
      <w:rFonts w:ascii="Calibri" w:eastAsia="Calibri" w:hAnsi="Calibri" w:cs="Calibri"/>
      <w:b/>
      <w:sz w:val="48"/>
      <w:szCs w:val="4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5D5A"/>
    <w:rPr>
      <w:rFonts w:ascii="Calibri" w:eastAsia="Calibri" w:hAnsi="Calibri" w:cs="Calibri"/>
      <w:b/>
      <w:sz w:val="48"/>
      <w:szCs w:val="48"/>
      <w:lang w:val="en-US"/>
    </w:rPr>
  </w:style>
  <w:style w:type="paragraph" w:styleId="Szvegtrzs">
    <w:name w:val="Body Text"/>
    <w:basedOn w:val="Norml"/>
    <w:link w:val="SzvegtrzsChar"/>
    <w:uiPriority w:val="1"/>
    <w:qFormat/>
    <w:rsid w:val="004B5D5A"/>
    <w:pPr>
      <w:widowControl w:val="0"/>
      <w:autoSpaceDE w:val="0"/>
      <w:autoSpaceDN w:val="0"/>
      <w:ind w:left="100"/>
    </w:pPr>
    <w:rPr>
      <w:rFonts w:ascii="Arial" w:eastAsia="Arial" w:hAnsi="Arial" w:cs="Arial"/>
      <w:sz w:val="22"/>
      <w:szCs w:val="22"/>
      <w:lang w:val="en-US" w:bidi="en-US"/>
    </w:rPr>
  </w:style>
  <w:style w:type="character" w:customStyle="1" w:styleId="SzvegtrzsChar">
    <w:name w:val="Szövegtörzs Char"/>
    <w:basedOn w:val="Bekezdsalapbettpusa"/>
    <w:link w:val="Szvegtrzs"/>
    <w:uiPriority w:val="1"/>
    <w:rsid w:val="004B5D5A"/>
    <w:rPr>
      <w:rFonts w:ascii="Arial" w:eastAsia="Arial" w:hAnsi="Arial" w:cs="Arial"/>
      <w:sz w:val="22"/>
      <w:szCs w:val="22"/>
      <w:lang w:val="en-US" w:bidi="en-US"/>
    </w:rPr>
  </w:style>
  <w:style w:type="paragraph" w:styleId="Listaszerbekezds">
    <w:name w:val="List Paragraph"/>
    <w:basedOn w:val="Norml"/>
    <w:uiPriority w:val="1"/>
    <w:qFormat/>
    <w:rsid w:val="004B5D5A"/>
    <w:pPr>
      <w:widowControl w:val="0"/>
      <w:autoSpaceDE w:val="0"/>
      <w:autoSpaceDN w:val="0"/>
      <w:ind w:left="741" w:hanging="641"/>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ynap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apse.org/" TargetMode="External"/><Relationship Id="rId5" Type="http://schemas.openxmlformats.org/officeDocument/2006/relationships/hyperlink" Target="https://www.niagads.org/adsp/content/sequencing-pip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8018</Characters>
  <Application>Microsoft Office Word</Application>
  <DocSecurity>0</DocSecurity>
  <Lines>66</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Scelsi, Marzia</dc:creator>
  <cp:keywords/>
  <dc:description/>
  <cp:lastModifiedBy>Agota Szép</cp:lastModifiedBy>
  <cp:revision>2</cp:revision>
  <dcterms:created xsi:type="dcterms:W3CDTF">2020-12-14T10:27:00Z</dcterms:created>
  <dcterms:modified xsi:type="dcterms:W3CDTF">2020-12-14T10:27:00Z</dcterms:modified>
</cp:coreProperties>
</file>