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99" w:rsidRPr="00912E99" w:rsidRDefault="00912E99" w:rsidP="00912E99">
      <w:pPr>
        <w:spacing w:beforeLines="50" w:before="156"/>
        <w:rPr>
          <w:rFonts w:ascii="Arial" w:hAnsi="Arial" w:cs="Arial"/>
          <w:b/>
          <w:sz w:val="28"/>
        </w:rPr>
      </w:pPr>
      <w:r w:rsidRPr="00912E99">
        <w:rPr>
          <w:rFonts w:ascii="Arial" w:hAnsi="Arial" w:cs="Arial" w:hint="eastAsia"/>
          <w:b/>
          <w:sz w:val="28"/>
        </w:rPr>
        <w:t>Text S</w:t>
      </w:r>
      <w:r w:rsidRPr="00912E99">
        <w:rPr>
          <w:rFonts w:ascii="Arial" w:hAnsi="Arial" w:cs="Arial"/>
          <w:b/>
          <w:sz w:val="28"/>
        </w:rPr>
        <w:t>6</w:t>
      </w:r>
      <w:r w:rsidRPr="00912E99">
        <w:rPr>
          <w:rFonts w:ascii="Arial" w:hAnsi="Arial" w:cs="Arial" w:hint="eastAsia"/>
          <w:b/>
          <w:sz w:val="28"/>
        </w:rPr>
        <w:t xml:space="preserve">. Clinical relevance of FOXM1 to breast cancer </w:t>
      </w:r>
    </w:p>
    <w:p w:rsidR="00912E99" w:rsidRPr="00912E99" w:rsidRDefault="00912E99" w:rsidP="00912E99">
      <w:pPr>
        <w:spacing w:beforeLines="50" w:before="156"/>
        <w:rPr>
          <w:rFonts w:ascii="Arial" w:hAnsi="Arial" w:cs="Arial"/>
          <w:sz w:val="20"/>
          <w:szCs w:val="20"/>
        </w:rPr>
      </w:pPr>
      <w:r w:rsidRPr="00912E99">
        <w:rPr>
          <w:rFonts w:ascii="Arial" w:hAnsi="Arial" w:cs="Arial" w:hint="eastAsia"/>
          <w:sz w:val="20"/>
          <w:szCs w:val="20"/>
        </w:rPr>
        <w:t>We found that FOXM1 belonged to an ascending group (</w:t>
      </w:r>
      <w:r w:rsidRPr="00912E99">
        <w:rPr>
          <w:rFonts w:ascii="Arial" w:hAnsi="Arial" w:cs="Arial" w:hint="eastAsia"/>
          <w:b/>
          <w:sz w:val="20"/>
          <w:szCs w:val="20"/>
        </w:rPr>
        <w:t xml:space="preserve">Fig </w:t>
      </w:r>
      <w:r w:rsidRPr="00912E99">
        <w:rPr>
          <w:rFonts w:ascii="Arial" w:hAnsi="Arial" w:cs="Arial"/>
          <w:b/>
          <w:sz w:val="20"/>
          <w:szCs w:val="20"/>
        </w:rPr>
        <w:t>6</w:t>
      </w:r>
      <w:r w:rsidRPr="00912E99">
        <w:rPr>
          <w:rFonts w:ascii="Arial" w:hAnsi="Arial" w:cs="Arial" w:hint="eastAsia"/>
          <w:b/>
          <w:sz w:val="20"/>
          <w:szCs w:val="20"/>
        </w:rPr>
        <w:t>a</w:t>
      </w:r>
      <w:r w:rsidRPr="00912E99">
        <w:rPr>
          <w:rFonts w:ascii="Arial" w:hAnsi="Arial" w:cs="Arial" w:hint="eastAsia"/>
          <w:sz w:val="20"/>
          <w:szCs w:val="20"/>
        </w:rPr>
        <w:t xml:space="preserve">), indicating its association with cancer progression. We thereby verified the clinical relevance of FOXM1 by </w:t>
      </w:r>
      <w:r w:rsidRPr="00912E99">
        <w:rPr>
          <w:rFonts w:ascii="Arial" w:hAnsi="Arial" w:cs="Arial"/>
          <w:sz w:val="20"/>
          <w:szCs w:val="20"/>
        </w:rPr>
        <w:t>examin</w:t>
      </w:r>
      <w:r w:rsidRPr="00912E99">
        <w:rPr>
          <w:rFonts w:ascii="Arial" w:hAnsi="Arial" w:cs="Arial" w:hint="eastAsia"/>
          <w:sz w:val="20"/>
          <w:szCs w:val="20"/>
        </w:rPr>
        <w:t>ing the prognostic roles of FOXM1 in breast cancer patients based on GSE7390 dataset (</w:t>
      </w:r>
      <w:r w:rsidRPr="00912E99">
        <w:rPr>
          <w:rFonts w:ascii="Arial" w:hAnsi="Arial" w:cs="Arial" w:hint="eastAsia"/>
          <w:i/>
          <w:sz w:val="20"/>
          <w:szCs w:val="20"/>
        </w:rPr>
        <w:t>n</w:t>
      </w:r>
      <w:r w:rsidRPr="00912E99">
        <w:rPr>
          <w:rFonts w:ascii="Arial" w:hAnsi="Arial" w:cs="Arial" w:hint="eastAsia"/>
          <w:sz w:val="20"/>
          <w:szCs w:val="20"/>
        </w:rPr>
        <w:t xml:space="preserve">=196) </w:t>
      </w:r>
      <w:r w:rsidRPr="00912E99">
        <w:rPr>
          <w:rFonts w:ascii="Arial" w:hAnsi="Arial" w:cs="Arial"/>
          <w:sz w:val="20"/>
          <w:szCs w:val="20"/>
        </w:rPr>
        <w:fldChar w:fldCharType="begin">
          <w:fldData xml:space="preserve">PEVuZE5vdGU+PENpdGU+PEF1dGhvcj5EZXNtZWR0PC9BdXRob3I+PFllYXI+MjAwNzwvWWVhcj48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ZXNlYXJjaDwvYWJici0xPjwvYWx0LXBlcmlvZGljYWw+PHBhZ2VzPjMyMDctMTQ8L3BhZ2VzPjx2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PEVuZE5vdGU+PENpdGU+PEF1dGhvcj5EZXNtZWR0PC9BdXRob3I+PFllYXI+MjAwNzwvWWVhcj48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ZXNlYXJjaDwvYWJici0xPjwvYWx0LXBlcmlvZGljYWw+PHBhZ2VzPjMyMDctMTQ8L3BhZ2VzPjx2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912E99">
        <w:rPr>
          <w:rFonts w:ascii="Arial" w:hAnsi="Arial" w:cs="Arial"/>
          <w:sz w:val="20"/>
          <w:szCs w:val="20"/>
        </w:rPr>
      </w:r>
      <w:r w:rsidRPr="00912E99">
        <w:rPr>
          <w:rFonts w:ascii="Arial" w:hAnsi="Arial" w:cs="Arial"/>
          <w:sz w:val="20"/>
          <w:szCs w:val="20"/>
        </w:rPr>
        <w:fldChar w:fldCharType="separate"/>
      </w:r>
      <w:r>
        <w:rPr>
          <w:rFonts w:ascii="Arial" w:hAnsi="Arial" w:cs="Arial"/>
          <w:noProof/>
          <w:sz w:val="20"/>
          <w:szCs w:val="20"/>
        </w:rPr>
        <w:t>[1]</w:t>
      </w:r>
      <w:r w:rsidRPr="00912E99">
        <w:rPr>
          <w:rFonts w:ascii="Arial" w:hAnsi="Arial" w:cs="Arial"/>
          <w:sz w:val="20"/>
          <w:szCs w:val="20"/>
        </w:rPr>
        <w:fldChar w:fldCharType="end"/>
      </w:r>
      <w:r w:rsidRPr="00912E99">
        <w:rPr>
          <w:rFonts w:ascii="Arial" w:hAnsi="Arial" w:cs="Arial" w:hint="eastAsia"/>
          <w:sz w:val="20"/>
          <w:szCs w:val="20"/>
        </w:rPr>
        <w:t xml:space="preserve">. </w:t>
      </w:r>
      <w:r w:rsidRPr="00912E99">
        <w:rPr>
          <w:rFonts w:ascii="Arial" w:hAnsi="Arial" w:cs="Arial"/>
          <w:sz w:val="20"/>
          <w:szCs w:val="20"/>
        </w:rPr>
        <w:t xml:space="preserve">A risk score was defined for each patient based on the expression level of FOXM1 according to COX PH model. High expression level of FOXM1 corresponds to high risk, and low expression level of FOXM1 corresponds to low risk. In this way, patients were divided into two groups: high-risk group and low-risk group. </w:t>
      </w:r>
      <w:r w:rsidR="00F80A58" w:rsidRPr="00F80A58">
        <w:rPr>
          <w:rFonts w:ascii="Arial" w:hAnsi="Arial" w:cs="Arial"/>
          <w:sz w:val="20"/>
          <w:szCs w:val="20"/>
        </w:rPr>
        <w:t>The optimal cutoff value of the risk score was determined using the ROC method</w:t>
      </w:r>
      <w:r w:rsidR="00F80A58">
        <w:rPr>
          <w:rFonts w:ascii="Arial" w:hAnsi="Arial" w:cs="Arial"/>
          <w:sz w:val="20"/>
          <w:szCs w:val="20"/>
        </w:rPr>
        <w:t xml:space="preserve"> </w:t>
      </w:r>
      <w:r w:rsidR="00F80A58">
        <w:rPr>
          <w:rFonts w:ascii="Arial" w:hAnsi="Arial" w:cs="Arial"/>
          <w:sz w:val="20"/>
          <w:szCs w:val="20"/>
        </w:rPr>
        <w:fldChar w:fldCharType="begin"/>
      </w:r>
      <w:r w:rsidR="00F80A58">
        <w:rPr>
          <w:rFonts w:ascii="Arial" w:hAnsi="Arial" w:cs="Arial"/>
          <w:sz w:val="20"/>
          <w:szCs w:val="20"/>
        </w:rPr>
        <w:instrText xml:space="preserve"> ADDIN EN.CITE &lt;EndNote&gt;&lt;Cite&gt;&lt;Author&gt;Xiaoqiang Sun&lt;/Author&gt;&lt;Year&gt;2019&lt;/Year&gt;&lt;RecNum&gt;110&lt;/RecNum&gt;&lt;DisplayText&gt;[2]&lt;/DisplayText&gt;&lt;record&gt;&lt;rec-number&gt;110&lt;/rec-number&gt;&lt;foreign-keys&gt;&lt;key app="EN" db-id="5zrpt9vzy9009qeves6vprf4re99wtptfsfa" timestamp="1611045557"&gt;110&lt;/key&gt;&lt;/foreign-keys&gt;&lt;ref-type name="Journal Article"&gt;17&lt;/ref-type&gt;&lt;contributors&gt;&lt;authors&gt;&lt;author&gt;Xiaoqiang Sun, Xiaoping Liu, Mengxue Xia, Yongzhao Shao, Xiaohua Douglas Zhang&lt;/author&gt;&lt;/authors&gt;&lt;/contributors&gt;&lt;titles&gt;&lt;title&gt;Multicellular gene network analysis identifies a macrophage-related gene signature predictive of therapeutic response and prognosis of gliomas&lt;/title&gt;&lt;secondary-title&gt;Journal of Translational Medicine&lt;/secondary-title&gt;&lt;/titles&gt;&lt;periodical&gt;&lt;full-title&gt;Journal of Translational Medicine&lt;/full-title&gt;&lt;/periodical&gt;&lt;pages&gt;159&lt;/pages&gt;&lt;volume&gt;17&lt;/volume&gt;&lt;dates&gt;&lt;year&gt;2019&lt;/year&gt;&lt;/dates&gt;&lt;urls&gt;&lt;/urls&gt;&lt;electronic-resource-num&gt;0.1186/s12967-019-1908-1&lt;/electronic-resource-num&gt;&lt;/record&gt;&lt;/Cite&gt;&lt;/EndNote&gt;</w:instrText>
      </w:r>
      <w:r w:rsidR="00F80A58">
        <w:rPr>
          <w:rFonts w:ascii="Arial" w:hAnsi="Arial" w:cs="Arial"/>
          <w:sz w:val="20"/>
          <w:szCs w:val="20"/>
        </w:rPr>
        <w:fldChar w:fldCharType="separate"/>
      </w:r>
      <w:r w:rsidR="00F80A58">
        <w:rPr>
          <w:rFonts w:ascii="Arial" w:hAnsi="Arial" w:cs="Arial"/>
          <w:noProof/>
          <w:sz w:val="20"/>
          <w:szCs w:val="20"/>
        </w:rPr>
        <w:t>[2]</w:t>
      </w:r>
      <w:r w:rsidR="00F80A58">
        <w:rPr>
          <w:rFonts w:ascii="Arial" w:hAnsi="Arial" w:cs="Arial"/>
          <w:sz w:val="20"/>
          <w:szCs w:val="20"/>
        </w:rPr>
        <w:fldChar w:fldCharType="end"/>
      </w:r>
      <w:r w:rsidR="00F80A58" w:rsidRPr="00F80A58">
        <w:rPr>
          <w:rFonts w:ascii="Arial" w:hAnsi="Arial" w:cs="Arial"/>
          <w:sz w:val="20"/>
          <w:szCs w:val="20"/>
        </w:rPr>
        <w:t>.</w:t>
      </w:r>
      <w:r w:rsidRPr="00912E99">
        <w:rPr>
          <w:rFonts w:ascii="Arial" w:hAnsi="Arial" w:cs="Arial" w:hint="eastAsia"/>
          <w:b/>
          <w:sz w:val="20"/>
          <w:szCs w:val="20"/>
        </w:rPr>
        <w:t xml:space="preserve"> Fig </w:t>
      </w:r>
      <w:r w:rsidRPr="00912E99">
        <w:rPr>
          <w:rFonts w:ascii="Arial" w:hAnsi="Arial" w:cs="Arial"/>
          <w:b/>
          <w:sz w:val="20"/>
          <w:szCs w:val="20"/>
        </w:rPr>
        <w:t>6</w:t>
      </w:r>
      <w:r w:rsidRPr="00912E99">
        <w:rPr>
          <w:rFonts w:ascii="Arial" w:hAnsi="Arial" w:cs="Arial" w:hint="eastAsia"/>
          <w:b/>
          <w:sz w:val="20"/>
          <w:szCs w:val="20"/>
        </w:rPr>
        <w:t xml:space="preserve">d-f </w:t>
      </w:r>
      <w:r w:rsidRPr="00912E99">
        <w:rPr>
          <w:rFonts w:ascii="Arial" w:hAnsi="Arial" w:cs="Arial" w:hint="eastAsia"/>
          <w:sz w:val="20"/>
          <w:szCs w:val="20"/>
        </w:rPr>
        <w:t>show the K-M survival curves of patients in high FOXM1 expression group (blue) and low FOXM1 expression group (red) with respect to d</w:t>
      </w:r>
      <w:r w:rsidRPr="00912E99">
        <w:rPr>
          <w:rFonts w:ascii="Arial" w:hAnsi="Arial" w:cs="Arial"/>
          <w:sz w:val="20"/>
          <w:szCs w:val="20"/>
        </w:rPr>
        <w:t>istant-metastasis-free survival</w:t>
      </w:r>
      <w:r w:rsidRPr="00912E99">
        <w:rPr>
          <w:rFonts w:ascii="Arial" w:hAnsi="Arial" w:cs="Arial" w:hint="eastAsia"/>
          <w:sz w:val="20"/>
          <w:szCs w:val="20"/>
        </w:rPr>
        <w:t xml:space="preserve"> (DMFS; </w:t>
      </w:r>
      <w:r w:rsidRPr="00912E99">
        <w:rPr>
          <w:rFonts w:ascii="Arial" w:hAnsi="Arial" w:cs="Arial" w:hint="eastAsia"/>
          <w:b/>
          <w:sz w:val="20"/>
          <w:szCs w:val="20"/>
        </w:rPr>
        <w:t xml:space="preserve">Fig </w:t>
      </w:r>
      <w:r w:rsidRPr="00912E99">
        <w:rPr>
          <w:rFonts w:ascii="Arial" w:hAnsi="Arial" w:cs="Arial"/>
          <w:b/>
          <w:sz w:val="20"/>
          <w:szCs w:val="20"/>
        </w:rPr>
        <w:t>6</w:t>
      </w:r>
      <w:r w:rsidRPr="00912E99">
        <w:rPr>
          <w:rFonts w:ascii="Arial" w:hAnsi="Arial" w:cs="Arial" w:hint="eastAsia"/>
          <w:b/>
          <w:sz w:val="20"/>
          <w:szCs w:val="20"/>
        </w:rPr>
        <w:t>d</w:t>
      </w:r>
      <w:r w:rsidRPr="00912E99">
        <w:rPr>
          <w:rFonts w:ascii="Arial" w:hAnsi="Arial" w:cs="Arial" w:hint="eastAsia"/>
          <w:sz w:val="20"/>
          <w:szCs w:val="20"/>
        </w:rPr>
        <w:t xml:space="preserve">), relapse-free survival (RFS; </w:t>
      </w:r>
      <w:r w:rsidRPr="00912E99">
        <w:rPr>
          <w:rFonts w:ascii="Arial" w:hAnsi="Arial" w:cs="Arial" w:hint="eastAsia"/>
          <w:b/>
          <w:sz w:val="20"/>
          <w:szCs w:val="20"/>
        </w:rPr>
        <w:t xml:space="preserve">Fig </w:t>
      </w:r>
      <w:r w:rsidRPr="00912E99">
        <w:rPr>
          <w:rFonts w:ascii="Arial" w:hAnsi="Arial" w:cs="Arial"/>
          <w:b/>
          <w:sz w:val="20"/>
          <w:szCs w:val="20"/>
        </w:rPr>
        <w:t>6</w:t>
      </w:r>
      <w:r w:rsidRPr="00912E99">
        <w:rPr>
          <w:rFonts w:ascii="Arial" w:hAnsi="Arial" w:cs="Arial" w:hint="eastAsia"/>
          <w:b/>
          <w:sz w:val="20"/>
          <w:szCs w:val="20"/>
        </w:rPr>
        <w:t>e</w:t>
      </w:r>
      <w:r w:rsidRPr="00912E99">
        <w:rPr>
          <w:rFonts w:ascii="Arial" w:hAnsi="Arial" w:cs="Arial" w:hint="eastAsia"/>
          <w:sz w:val="20"/>
          <w:szCs w:val="20"/>
        </w:rPr>
        <w:t xml:space="preserve">) and overall survival (OS; </w:t>
      </w:r>
      <w:r w:rsidRPr="00912E99">
        <w:rPr>
          <w:rFonts w:ascii="Arial" w:hAnsi="Arial" w:cs="Arial" w:hint="eastAsia"/>
          <w:b/>
          <w:sz w:val="20"/>
          <w:szCs w:val="20"/>
        </w:rPr>
        <w:t xml:space="preserve">Fig </w:t>
      </w:r>
      <w:r w:rsidRPr="00912E99">
        <w:rPr>
          <w:rFonts w:ascii="Arial" w:hAnsi="Arial" w:cs="Arial"/>
          <w:b/>
          <w:sz w:val="20"/>
          <w:szCs w:val="20"/>
        </w:rPr>
        <w:t>6</w:t>
      </w:r>
      <w:r w:rsidRPr="00912E99">
        <w:rPr>
          <w:rFonts w:ascii="Arial" w:hAnsi="Arial" w:cs="Arial" w:hint="eastAsia"/>
          <w:b/>
          <w:sz w:val="20"/>
          <w:szCs w:val="20"/>
        </w:rPr>
        <w:t>f</w:t>
      </w:r>
      <w:r w:rsidRPr="00912E99">
        <w:rPr>
          <w:rFonts w:ascii="Arial" w:hAnsi="Arial" w:cs="Arial" w:hint="eastAsia"/>
          <w:sz w:val="20"/>
          <w:szCs w:val="20"/>
        </w:rPr>
        <w:t xml:space="preserve">), respectively. All these results </w:t>
      </w:r>
      <w:r w:rsidRPr="00912E99">
        <w:rPr>
          <w:rFonts w:ascii="Arial" w:hAnsi="Arial" w:cs="Arial"/>
          <w:sz w:val="20"/>
          <w:szCs w:val="20"/>
        </w:rPr>
        <w:t>demonstrated</w:t>
      </w:r>
      <w:r w:rsidRPr="00912E99">
        <w:rPr>
          <w:rFonts w:ascii="Arial" w:hAnsi="Arial" w:cs="Arial" w:hint="eastAsia"/>
          <w:sz w:val="20"/>
          <w:szCs w:val="20"/>
        </w:rPr>
        <w:t xml:space="preserve"> that </w:t>
      </w:r>
      <w:r w:rsidRPr="00912E99">
        <w:rPr>
          <w:rFonts w:ascii="Arial" w:hAnsi="Arial" w:cs="Arial"/>
          <w:sz w:val="20"/>
          <w:szCs w:val="20"/>
        </w:rPr>
        <w:t>up-regulation</w:t>
      </w:r>
      <w:r w:rsidRPr="00912E99">
        <w:rPr>
          <w:rFonts w:ascii="Arial" w:hAnsi="Arial" w:cs="Arial" w:hint="eastAsia"/>
          <w:sz w:val="20"/>
          <w:szCs w:val="20"/>
        </w:rPr>
        <w:t xml:space="preserve"> of FOXM1 was significantly </w:t>
      </w:r>
      <w:r w:rsidRPr="00912E99">
        <w:rPr>
          <w:rFonts w:ascii="Arial" w:hAnsi="Arial" w:cs="Arial"/>
          <w:sz w:val="20"/>
          <w:szCs w:val="20"/>
        </w:rPr>
        <w:t>associated</w:t>
      </w:r>
      <w:r w:rsidRPr="00912E99">
        <w:rPr>
          <w:rFonts w:ascii="Arial" w:hAnsi="Arial" w:cs="Arial" w:hint="eastAsia"/>
          <w:sz w:val="20"/>
          <w:szCs w:val="20"/>
        </w:rPr>
        <w:t xml:space="preserve"> with the poor prognosis of breast cancer patients, as </w:t>
      </w:r>
      <w:r w:rsidRPr="00912E99">
        <w:rPr>
          <w:rFonts w:ascii="Arial" w:hAnsi="Arial" w:cs="Arial"/>
          <w:sz w:val="20"/>
          <w:szCs w:val="20"/>
        </w:rPr>
        <w:t>assessed</w:t>
      </w:r>
      <w:r w:rsidRPr="00912E99">
        <w:rPr>
          <w:rFonts w:ascii="Arial" w:hAnsi="Arial" w:cs="Arial" w:hint="eastAsia"/>
          <w:sz w:val="20"/>
          <w:szCs w:val="20"/>
        </w:rPr>
        <w:t xml:space="preserve"> by </w:t>
      </w:r>
      <w:bookmarkStart w:id="0" w:name="OLE_LINK70"/>
      <w:r w:rsidRPr="00912E99">
        <w:rPr>
          <w:rFonts w:ascii="Arial" w:hAnsi="Arial" w:cs="Arial" w:hint="eastAsia"/>
          <w:sz w:val="20"/>
          <w:szCs w:val="20"/>
        </w:rPr>
        <w:t>l</w:t>
      </w:r>
      <w:r w:rsidRPr="00912E99">
        <w:rPr>
          <w:rFonts w:ascii="Arial" w:hAnsi="Arial" w:cs="Arial"/>
          <w:sz w:val="20"/>
          <w:szCs w:val="20"/>
        </w:rPr>
        <w:t>og</w:t>
      </w:r>
      <w:r w:rsidRPr="00912E99">
        <w:rPr>
          <w:rFonts w:ascii="Arial" w:hAnsi="Arial" w:cs="Arial" w:hint="eastAsia"/>
          <w:sz w:val="20"/>
          <w:szCs w:val="20"/>
        </w:rPr>
        <w:t>-</w:t>
      </w:r>
      <w:r w:rsidRPr="00912E99">
        <w:rPr>
          <w:rFonts w:ascii="Arial" w:hAnsi="Arial" w:cs="Arial"/>
          <w:sz w:val="20"/>
          <w:szCs w:val="20"/>
        </w:rPr>
        <w:t xml:space="preserve">rank </w:t>
      </w:r>
      <w:bookmarkEnd w:id="0"/>
      <w:r w:rsidRPr="00912E99">
        <w:rPr>
          <w:rFonts w:ascii="Arial" w:hAnsi="Arial" w:cs="Arial"/>
          <w:sz w:val="20"/>
          <w:szCs w:val="20"/>
        </w:rPr>
        <w:t>test</w:t>
      </w:r>
      <w:r w:rsidRPr="00912E99">
        <w:rPr>
          <w:rFonts w:ascii="Arial" w:hAnsi="Arial" w:cs="Arial" w:hint="eastAsia"/>
          <w:sz w:val="20"/>
          <w:szCs w:val="20"/>
        </w:rPr>
        <w:t xml:space="preserve"> </w:t>
      </w:r>
      <w:r w:rsidRPr="00912E99">
        <w:rPr>
          <w:rFonts w:ascii="Arial" w:hAnsi="Arial" w:cs="Arial" w:hint="eastAsia"/>
          <w:i/>
          <w:sz w:val="20"/>
          <w:szCs w:val="20"/>
        </w:rPr>
        <w:t>p</w:t>
      </w:r>
      <w:r w:rsidRPr="00912E99">
        <w:rPr>
          <w:rFonts w:ascii="Arial" w:hAnsi="Arial" w:cs="Arial" w:hint="eastAsia"/>
          <w:sz w:val="20"/>
          <w:szCs w:val="20"/>
        </w:rPr>
        <w:t xml:space="preserve"> values. Furthermore, we performed permutation test of the prognostic power of FOXM1 using a </w:t>
      </w:r>
      <w:r w:rsidRPr="00912E99">
        <w:rPr>
          <w:rFonts w:ascii="Arial" w:hAnsi="Arial" w:cs="Arial"/>
          <w:sz w:val="20"/>
          <w:szCs w:val="20"/>
        </w:rPr>
        <w:t>bootstrapping</w:t>
      </w:r>
      <w:r w:rsidRPr="00912E99">
        <w:rPr>
          <w:rFonts w:ascii="Arial" w:hAnsi="Arial" w:cs="Arial" w:hint="eastAsia"/>
          <w:sz w:val="20"/>
          <w:szCs w:val="20"/>
        </w:rPr>
        <w:t xml:space="preserve"> approach. </w:t>
      </w:r>
      <w:r w:rsidRPr="00912E99">
        <w:rPr>
          <w:rFonts w:ascii="Arial" w:hAnsi="Arial" w:cs="Arial"/>
          <w:sz w:val="20"/>
          <w:szCs w:val="20"/>
        </w:rPr>
        <w:t>We randomly</w:t>
      </w:r>
      <w:r w:rsidRPr="00912E99">
        <w:rPr>
          <w:rFonts w:ascii="Arial" w:hAnsi="Arial" w:cs="Arial" w:hint="eastAsia"/>
          <w:sz w:val="20"/>
          <w:szCs w:val="20"/>
        </w:rPr>
        <w:t xml:space="preserve"> selected 10000 genes from the whole transcriptome and evaluated the prognostic </w:t>
      </w:r>
      <w:r w:rsidRPr="00912E99">
        <w:rPr>
          <w:rFonts w:ascii="Arial" w:hAnsi="Arial" w:cs="Arial"/>
          <w:sz w:val="20"/>
          <w:szCs w:val="20"/>
        </w:rPr>
        <w:t>association</w:t>
      </w:r>
      <w:r w:rsidRPr="00912E99">
        <w:rPr>
          <w:rFonts w:ascii="Arial" w:hAnsi="Arial" w:cs="Arial" w:hint="eastAsia"/>
          <w:sz w:val="20"/>
          <w:szCs w:val="20"/>
        </w:rPr>
        <w:t xml:space="preserve"> of each gene with the RFS using </w:t>
      </w:r>
      <w:bookmarkStart w:id="1" w:name="OLE_LINK50"/>
      <w:bookmarkStart w:id="2" w:name="OLE_LINK53"/>
      <w:r w:rsidRPr="00912E99">
        <w:rPr>
          <w:rFonts w:ascii="Arial" w:hAnsi="Arial" w:cs="Arial" w:hint="eastAsia"/>
          <w:sz w:val="20"/>
          <w:szCs w:val="20"/>
        </w:rPr>
        <w:t>Wald test</w:t>
      </w:r>
      <w:bookmarkEnd w:id="1"/>
      <w:bookmarkEnd w:id="2"/>
      <w:r w:rsidRPr="00912E99">
        <w:rPr>
          <w:rFonts w:ascii="Arial" w:hAnsi="Arial" w:cs="Arial" w:hint="eastAsia"/>
          <w:sz w:val="20"/>
          <w:szCs w:val="20"/>
        </w:rPr>
        <w:t xml:space="preserve"> p value. Among the 10000 </w:t>
      </w:r>
      <w:r w:rsidRPr="00912E99">
        <w:rPr>
          <w:rFonts w:ascii="Arial" w:hAnsi="Arial" w:cs="Arial"/>
          <w:sz w:val="20"/>
          <w:szCs w:val="20"/>
        </w:rPr>
        <w:t>“</w:t>
      </w:r>
      <w:r w:rsidRPr="00912E99">
        <w:rPr>
          <w:rFonts w:ascii="Arial" w:hAnsi="Arial" w:cs="Arial" w:hint="eastAsia"/>
          <w:sz w:val="20"/>
          <w:szCs w:val="20"/>
        </w:rPr>
        <w:t>random gene</w:t>
      </w:r>
      <w:r w:rsidRPr="00912E99">
        <w:rPr>
          <w:rFonts w:ascii="Arial" w:hAnsi="Arial" w:cs="Arial"/>
          <w:sz w:val="20"/>
          <w:szCs w:val="20"/>
        </w:rPr>
        <w:t>”</w:t>
      </w:r>
      <w:r w:rsidRPr="00912E99">
        <w:rPr>
          <w:rFonts w:ascii="Arial" w:hAnsi="Arial" w:cs="Arial" w:hint="eastAsia"/>
          <w:sz w:val="20"/>
          <w:szCs w:val="20"/>
        </w:rPr>
        <w:t xml:space="preserve"> p values, only 1.46% were less than the p value of FOXM1 (i.e., 0.0018). </w:t>
      </w:r>
      <w:r w:rsidRPr="00912E99">
        <w:rPr>
          <w:rFonts w:ascii="Arial" w:hAnsi="Arial" w:cs="Arial"/>
          <w:sz w:val="20"/>
          <w:szCs w:val="20"/>
        </w:rPr>
        <w:t>Therefore</w:t>
      </w:r>
      <w:r w:rsidRPr="00912E99">
        <w:rPr>
          <w:rFonts w:ascii="Arial" w:hAnsi="Arial" w:cs="Arial" w:hint="eastAsia"/>
          <w:sz w:val="20"/>
          <w:szCs w:val="20"/>
        </w:rPr>
        <w:t>, t</w:t>
      </w:r>
      <w:r w:rsidRPr="00912E99">
        <w:rPr>
          <w:rFonts w:ascii="Arial" w:hAnsi="Arial" w:cs="Arial"/>
          <w:sz w:val="20"/>
          <w:szCs w:val="20"/>
        </w:rPr>
        <w:t>he p value</w:t>
      </w:r>
      <w:r w:rsidRPr="00912E99">
        <w:rPr>
          <w:rFonts w:ascii="Arial" w:hAnsi="Arial" w:cs="Arial" w:hint="eastAsia"/>
          <w:sz w:val="20"/>
          <w:szCs w:val="20"/>
        </w:rPr>
        <w:t xml:space="preserve"> </w:t>
      </w:r>
      <w:r w:rsidRPr="00912E99">
        <w:rPr>
          <w:rFonts w:ascii="Arial" w:hAnsi="Arial" w:cs="Arial"/>
          <w:sz w:val="20"/>
          <w:szCs w:val="20"/>
        </w:rPr>
        <w:t>from the permutation test</w:t>
      </w:r>
      <w:r w:rsidRPr="00912E99">
        <w:rPr>
          <w:rFonts w:ascii="Arial" w:hAnsi="Arial" w:cs="Arial" w:hint="eastAsia"/>
          <w:sz w:val="20"/>
          <w:szCs w:val="20"/>
        </w:rPr>
        <w:t xml:space="preserve"> was 0.0146, indicating non-randomness of FOXM1 and verifying the statistical significance of the prognostic power of FOXM1. </w:t>
      </w:r>
    </w:p>
    <w:p w:rsidR="00912E99" w:rsidRDefault="00912E99" w:rsidP="00912E99">
      <w:pPr>
        <w:rPr>
          <w:rFonts w:ascii="Arial" w:hAnsi="Arial" w:cs="Arial"/>
          <w:sz w:val="20"/>
          <w:szCs w:val="20"/>
        </w:rPr>
      </w:pPr>
      <w:r w:rsidRPr="00912E99">
        <w:rPr>
          <w:rFonts w:ascii="Arial" w:hAnsi="Arial" w:cs="Arial" w:hint="eastAsia"/>
          <w:sz w:val="20"/>
          <w:szCs w:val="20"/>
        </w:rPr>
        <w:t>Moreover, we found that FOXM1 expression was associated with the therapeutic responses of breast cancer patients (</w:t>
      </w:r>
      <w:r w:rsidRPr="00912E99">
        <w:rPr>
          <w:rFonts w:ascii="Arial" w:hAnsi="Arial" w:cs="Arial" w:hint="eastAsia"/>
          <w:b/>
          <w:sz w:val="20"/>
          <w:szCs w:val="20"/>
        </w:rPr>
        <w:t>Fig S6</w:t>
      </w:r>
      <w:r w:rsidRPr="00912E99">
        <w:rPr>
          <w:rFonts w:ascii="Arial" w:hAnsi="Arial" w:cs="Arial" w:hint="eastAsia"/>
          <w:sz w:val="20"/>
          <w:szCs w:val="20"/>
        </w:rPr>
        <w:t>). Breast cancer patients who received endocrine therapy (</w:t>
      </w:r>
      <w:r w:rsidRPr="00912E99">
        <w:rPr>
          <w:rFonts w:ascii="Arial" w:hAnsi="Arial" w:cs="Arial" w:hint="eastAsia"/>
          <w:b/>
          <w:sz w:val="20"/>
          <w:szCs w:val="20"/>
        </w:rPr>
        <w:t>Fig S6a</w:t>
      </w:r>
      <w:r w:rsidRPr="00912E99">
        <w:rPr>
          <w:rFonts w:ascii="Arial" w:hAnsi="Arial" w:cs="Arial" w:hint="eastAsia"/>
          <w:sz w:val="20"/>
          <w:szCs w:val="20"/>
        </w:rPr>
        <w:t>) or chemotherapy (</w:t>
      </w:r>
      <w:r w:rsidRPr="00912E99">
        <w:rPr>
          <w:rFonts w:ascii="Arial" w:hAnsi="Arial" w:cs="Arial" w:hint="eastAsia"/>
          <w:b/>
          <w:sz w:val="20"/>
          <w:szCs w:val="20"/>
        </w:rPr>
        <w:t>Fig S6b</w:t>
      </w:r>
      <w:r w:rsidRPr="00912E99">
        <w:rPr>
          <w:rFonts w:ascii="Arial" w:hAnsi="Arial" w:cs="Arial" w:hint="eastAsia"/>
          <w:sz w:val="20"/>
          <w:szCs w:val="20"/>
        </w:rPr>
        <w:t>) were incl</w:t>
      </w:r>
      <w:bookmarkStart w:id="3" w:name="_GoBack"/>
      <w:bookmarkEnd w:id="3"/>
      <w:r w:rsidRPr="00912E99">
        <w:rPr>
          <w:rFonts w:ascii="Arial" w:hAnsi="Arial" w:cs="Arial" w:hint="eastAsia"/>
          <w:sz w:val="20"/>
          <w:szCs w:val="20"/>
        </w:rPr>
        <w:t>uded into the K-M survival analysis. Log-rank test p-value was used to assess the prognostic significance.</w:t>
      </w:r>
    </w:p>
    <w:p w:rsidR="00912E99" w:rsidRDefault="00912E99" w:rsidP="00912E99"/>
    <w:p w:rsidR="00912E99" w:rsidRPr="00915421" w:rsidRDefault="00912E99" w:rsidP="00912E99">
      <w:pPr>
        <w:widowControl/>
        <w:jc w:val="left"/>
        <w:rPr>
          <w:rFonts w:ascii="Arial" w:hAnsi="Arial" w:cs="Arial"/>
          <w:b/>
        </w:rPr>
      </w:pPr>
      <w:r w:rsidRPr="00915421">
        <w:rPr>
          <w:rFonts w:ascii="Arial" w:hAnsi="Arial" w:cs="Arial"/>
          <w:b/>
        </w:rPr>
        <w:t>Supplementary references</w:t>
      </w:r>
    </w:p>
    <w:p w:rsidR="00912E99" w:rsidRDefault="00912E99" w:rsidP="00912E99"/>
    <w:p w:rsidR="00F80A58" w:rsidRPr="00F80A58" w:rsidRDefault="00912E99" w:rsidP="00F80A58">
      <w:pPr>
        <w:pStyle w:val="EndNoteBibliography"/>
        <w:rPr>
          <w:rFonts w:ascii="Arial" w:hAnsi="Arial" w:cs="Arial"/>
          <w:szCs w:val="20"/>
        </w:rPr>
      </w:pPr>
      <w:r w:rsidRPr="00F80A58">
        <w:rPr>
          <w:rFonts w:ascii="Arial" w:hAnsi="Arial" w:cs="Arial"/>
          <w:szCs w:val="20"/>
        </w:rPr>
        <w:fldChar w:fldCharType="begin"/>
      </w:r>
      <w:r w:rsidRPr="00F80A58">
        <w:rPr>
          <w:rFonts w:ascii="Arial" w:hAnsi="Arial" w:cs="Arial"/>
          <w:szCs w:val="20"/>
        </w:rPr>
        <w:instrText xml:space="preserve"> ADDIN EN.REFLIST </w:instrText>
      </w:r>
      <w:r w:rsidRPr="00F80A58">
        <w:rPr>
          <w:rFonts w:ascii="Arial" w:hAnsi="Arial" w:cs="Arial"/>
          <w:szCs w:val="20"/>
        </w:rPr>
        <w:fldChar w:fldCharType="separate"/>
      </w:r>
      <w:r w:rsidR="00F80A58" w:rsidRPr="00F80A58">
        <w:rPr>
          <w:rFonts w:ascii="Arial" w:hAnsi="Arial" w:cs="Arial"/>
          <w:szCs w:val="20"/>
        </w:rPr>
        <w:t>1.</w:t>
      </w:r>
      <w:r w:rsidR="00F80A58" w:rsidRPr="00F80A58">
        <w:rPr>
          <w:rFonts w:ascii="Arial" w:hAnsi="Arial" w:cs="Arial"/>
          <w:szCs w:val="20"/>
        </w:rPr>
        <w:tab/>
        <w:t>Desmedt C, Piette F, Loi S, Wang Y, Lallemand F, Haibe-Kains B, et al. Strong time dependence of the 76-gene prognostic signature for node-negative breast cancer patients in the TRANSBIG multicenter independent validation series. Clinical cancer research : an official journal of the American Association for Cancer Research. 2007;13(11):3207-14. Epub 2007/06/05. doi: 10.1158/1078-0432.Ccr-06-2765. PubMed PMID: 17545524.</w:t>
      </w:r>
    </w:p>
    <w:p w:rsidR="00F80A58" w:rsidRPr="00F80A58" w:rsidRDefault="00F80A58" w:rsidP="00F80A58">
      <w:pPr>
        <w:pStyle w:val="EndNoteBibliography"/>
        <w:rPr>
          <w:rFonts w:ascii="Arial" w:hAnsi="Arial" w:cs="Arial"/>
          <w:szCs w:val="20"/>
        </w:rPr>
      </w:pPr>
      <w:r w:rsidRPr="00F80A58">
        <w:rPr>
          <w:rFonts w:ascii="Arial" w:hAnsi="Arial" w:cs="Arial"/>
          <w:szCs w:val="20"/>
        </w:rPr>
        <w:t>2.</w:t>
      </w:r>
      <w:r w:rsidRPr="00F80A58">
        <w:rPr>
          <w:rFonts w:ascii="Arial" w:hAnsi="Arial" w:cs="Arial"/>
          <w:szCs w:val="20"/>
        </w:rPr>
        <w:tab/>
        <w:t>Xiaoqiang Sun XL, Mengxue Xia, Yongzhao Shao, Xiaohua Douglas Zhang. Multicellular gene network analysis identifies a macrophage-related gene signature predictive of therapeutic response and prognosis of gliomas. Journal of Translational Medicine. 2019;17:159. doi: 0.1186/s12967-019-1908-1.</w:t>
      </w:r>
    </w:p>
    <w:p w:rsidR="00912E99" w:rsidRPr="00912E99" w:rsidRDefault="00912E99" w:rsidP="00912E99">
      <w:pPr>
        <w:ind w:left="400" w:hangingChars="200" w:hanging="400"/>
      </w:pPr>
      <w:r w:rsidRPr="00F80A58">
        <w:rPr>
          <w:rFonts w:ascii="Arial" w:hAnsi="Arial" w:cs="Arial"/>
          <w:sz w:val="20"/>
          <w:szCs w:val="20"/>
        </w:rPr>
        <w:fldChar w:fldCharType="end"/>
      </w:r>
    </w:p>
    <w:sectPr w:rsidR="00912E99" w:rsidRPr="00912E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F9E" w:rsidRDefault="00997F9E" w:rsidP="00F80A58">
      <w:r>
        <w:separator/>
      </w:r>
    </w:p>
  </w:endnote>
  <w:endnote w:type="continuationSeparator" w:id="0">
    <w:p w:rsidR="00997F9E" w:rsidRDefault="00997F9E" w:rsidP="00F8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F9E" w:rsidRDefault="00997F9E" w:rsidP="00F80A58">
      <w:r>
        <w:separator/>
      </w:r>
    </w:p>
  </w:footnote>
  <w:footnote w:type="continuationSeparator" w:id="0">
    <w:p w:rsidR="00997F9E" w:rsidRDefault="00997F9E" w:rsidP="00F8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rpt9vzy9009qeves6vprf4re99wtptfsfa&quot;&gt;PROB&lt;record-ids&gt;&lt;item&gt;32&lt;/item&gt;&lt;item&gt;110&lt;/item&gt;&lt;/record-ids&gt;&lt;/item&gt;&lt;/Libraries&gt;"/>
  </w:docVars>
  <w:rsids>
    <w:rsidRoot w:val="00912E99"/>
    <w:rsid w:val="00912E99"/>
    <w:rsid w:val="00997F9E"/>
    <w:rsid w:val="00E84FF5"/>
    <w:rsid w:val="00F8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33D0"/>
  <w15:chartTrackingRefBased/>
  <w15:docId w15:val="{773ECD7B-7F8B-4993-9A69-6EFBE68B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E9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12E9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12E99"/>
    <w:rPr>
      <w:rFonts w:ascii="等线" w:eastAsia="等线" w:hAnsi="等线"/>
      <w:noProof/>
      <w:sz w:val="20"/>
    </w:rPr>
  </w:style>
  <w:style w:type="paragraph" w:customStyle="1" w:styleId="EndNoteBibliography">
    <w:name w:val="EndNote Bibliography"/>
    <w:basedOn w:val="a"/>
    <w:link w:val="EndNoteBibliography0"/>
    <w:rsid w:val="00912E99"/>
    <w:rPr>
      <w:rFonts w:ascii="等线" w:eastAsia="等线" w:hAnsi="等线"/>
      <w:noProof/>
      <w:sz w:val="20"/>
    </w:rPr>
  </w:style>
  <w:style w:type="character" w:customStyle="1" w:styleId="EndNoteBibliography0">
    <w:name w:val="EndNote Bibliography 字符"/>
    <w:basedOn w:val="a0"/>
    <w:link w:val="EndNoteBibliography"/>
    <w:rsid w:val="00912E99"/>
    <w:rPr>
      <w:rFonts w:ascii="等线" w:eastAsia="等线" w:hAnsi="等线"/>
      <w:noProof/>
      <w:sz w:val="20"/>
    </w:rPr>
  </w:style>
  <w:style w:type="paragraph" w:styleId="a3">
    <w:name w:val="header"/>
    <w:basedOn w:val="a"/>
    <w:link w:val="a4"/>
    <w:uiPriority w:val="99"/>
    <w:unhideWhenUsed/>
    <w:rsid w:val="00F80A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A58"/>
    <w:rPr>
      <w:sz w:val="18"/>
      <w:szCs w:val="18"/>
    </w:rPr>
  </w:style>
  <w:style w:type="paragraph" w:styleId="a5">
    <w:name w:val="footer"/>
    <w:basedOn w:val="a"/>
    <w:link w:val="a6"/>
    <w:uiPriority w:val="99"/>
    <w:unhideWhenUsed/>
    <w:rsid w:val="00F80A58"/>
    <w:pPr>
      <w:tabs>
        <w:tab w:val="center" w:pos="4153"/>
        <w:tab w:val="right" w:pos="8306"/>
      </w:tabs>
      <w:snapToGrid w:val="0"/>
      <w:jc w:val="left"/>
    </w:pPr>
    <w:rPr>
      <w:sz w:val="18"/>
      <w:szCs w:val="18"/>
    </w:rPr>
  </w:style>
  <w:style w:type="character" w:customStyle="1" w:styleId="a6">
    <w:name w:val="页脚 字符"/>
    <w:basedOn w:val="a0"/>
    <w:link w:val="a5"/>
    <w:uiPriority w:val="99"/>
    <w:rsid w:val="00F80A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3267</Characters>
  <Application>Microsoft Office Word</Application>
  <DocSecurity>0</DocSecurity>
  <Lines>27</Lines>
  <Paragraphs>7</Paragraphs>
  <ScaleCrop>false</ScaleCrop>
  <Company>中山大学</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2021-01-18T10:46:00Z</dcterms:created>
  <dcterms:modified xsi:type="dcterms:W3CDTF">2021-01-19T08:41:00Z</dcterms:modified>
</cp:coreProperties>
</file>