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BD" w:rsidRPr="00944F29" w:rsidRDefault="00523BBD" w:rsidP="00523BBD">
      <w:pPr>
        <w:widowControl/>
        <w:jc w:val="left"/>
        <w:rPr>
          <w:rFonts w:ascii="Arial" w:hAnsi="Arial" w:cs="Arial"/>
          <w:b/>
          <w:sz w:val="28"/>
        </w:rPr>
      </w:pPr>
      <w:r w:rsidRPr="006D4922">
        <w:rPr>
          <w:rFonts w:ascii="Arial" w:hAnsi="Arial" w:cs="Arial" w:hint="eastAsia"/>
          <w:b/>
          <w:sz w:val="28"/>
        </w:rPr>
        <w:t>Text S</w:t>
      </w:r>
      <w:r>
        <w:rPr>
          <w:rFonts w:ascii="Arial" w:hAnsi="Arial" w:cs="Arial"/>
          <w:b/>
          <w:sz w:val="28"/>
        </w:rPr>
        <w:t>4</w:t>
      </w:r>
      <w:r w:rsidRPr="006D4922">
        <w:rPr>
          <w:rFonts w:ascii="Arial" w:hAnsi="Arial" w:cs="Arial" w:hint="eastAsia"/>
          <w:b/>
          <w:sz w:val="28"/>
        </w:rPr>
        <w:t xml:space="preserve">. </w:t>
      </w:r>
      <w:r>
        <w:rPr>
          <w:rFonts w:ascii="Arial" w:hAnsi="Arial" w:cs="Arial"/>
          <w:b/>
          <w:sz w:val="28"/>
        </w:rPr>
        <w:t>Simulation study</w:t>
      </w:r>
      <w:r w:rsidRPr="006D4922">
        <w:rPr>
          <w:rFonts w:ascii="Arial" w:hAnsi="Arial" w:cs="Arial" w:hint="eastAsia"/>
          <w:b/>
          <w:sz w:val="28"/>
        </w:rPr>
        <w:t xml:space="preserve"> </w:t>
      </w:r>
    </w:p>
    <w:p w:rsidR="00523BBD" w:rsidRDefault="00523BBD" w:rsidP="00523BBD">
      <w:pPr>
        <w:spacing w:beforeLines="50" w:before="156"/>
        <w:rPr>
          <w:rFonts w:ascii="Arial" w:hAnsi="Arial" w:cs="Arial"/>
          <w:kern w:val="0"/>
          <w:sz w:val="20"/>
          <w:szCs w:val="20"/>
        </w:rPr>
      </w:pPr>
      <w:r w:rsidRPr="00D20086">
        <w:rPr>
          <w:rFonts w:ascii="Arial" w:hAnsi="Arial" w:cs="Arial" w:hint="eastAsia"/>
          <w:kern w:val="0"/>
          <w:sz w:val="20"/>
          <w:szCs w:val="20"/>
        </w:rPr>
        <w:t xml:space="preserve">To </w:t>
      </w:r>
      <w:r w:rsidRPr="00D20086">
        <w:rPr>
          <w:rFonts w:ascii="Arial" w:hAnsi="Arial" w:cs="Arial"/>
          <w:kern w:val="0"/>
          <w:sz w:val="20"/>
          <w:szCs w:val="20"/>
        </w:rPr>
        <w:t>assess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the effectiveness and accuracy of </w:t>
      </w:r>
      <w:r>
        <w:rPr>
          <w:rFonts w:ascii="Arial" w:hAnsi="Arial" w:cs="Arial"/>
          <w:kern w:val="0"/>
          <w:sz w:val="20"/>
          <w:szCs w:val="20"/>
        </w:rPr>
        <w:t>PROB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, we </w:t>
      </w:r>
      <w:r w:rsidRPr="00D20086">
        <w:rPr>
          <w:rFonts w:ascii="Arial" w:hAnsi="Arial" w:cs="Arial"/>
          <w:kern w:val="0"/>
          <w:sz w:val="20"/>
          <w:szCs w:val="20"/>
        </w:rPr>
        <w:t>synthesized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a GRN that was consisted of </w:t>
      </w:r>
      <w:r w:rsidRPr="00BD6C80">
        <w:rPr>
          <w:rFonts w:ascii="Times New Roman" w:hAnsi="Times New Roman" w:cs="Times New Roman"/>
          <w:i/>
          <w:kern w:val="0"/>
          <w:sz w:val="20"/>
          <w:szCs w:val="20"/>
        </w:rPr>
        <w:t>n</w:t>
      </w:r>
      <w:r>
        <w:rPr>
          <w:rFonts w:ascii="Arial" w:hAnsi="Arial" w:cs="Arial" w:hint="eastAsia"/>
          <w:kern w:val="0"/>
          <w:sz w:val="20"/>
          <w:szCs w:val="20"/>
        </w:rPr>
        <w:t>=6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nodes and structured with typical motifs, such as positive and negative feedback loops and </w:t>
      </w:r>
      <w:proofErr w:type="spellStart"/>
      <w:r w:rsidRPr="00D20086">
        <w:rPr>
          <w:rFonts w:ascii="Arial" w:hAnsi="Arial" w:cs="Arial"/>
          <w:kern w:val="0"/>
          <w:sz w:val="20"/>
          <w:szCs w:val="20"/>
        </w:rPr>
        <w:t>crosstalk</w:t>
      </w:r>
      <w:r>
        <w:rPr>
          <w:rFonts w:ascii="Arial" w:hAnsi="Arial" w:cs="Arial"/>
          <w:kern w:val="0"/>
          <w:sz w:val="20"/>
          <w:szCs w:val="20"/>
        </w:rPr>
        <w:t>s</w:t>
      </w:r>
      <w:proofErr w:type="spellEnd"/>
      <w:r w:rsidRPr="00D20086">
        <w:rPr>
          <w:rFonts w:ascii="Arial" w:hAnsi="Arial" w:cs="Arial" w:hint="eastAsia"/>
          <w:kern w:val="0"/>
          <w:sz w:val="20"/>
          <w:szCs w:val="20"/>
        </w:rPr>
        <w:t xml:space="preserve"> (</w:t>
      </w:r>
      <w:r w:rsidRPr="00C00521">
        <w:rPr>
          <w:rFonts w:ascii="Arial" w:hAnsi="Arial" w:cs="Arial"/>
          <w:kern w:val="0"/>
          <w:sz w:val="20"/>
          <w:szCs w:val="20"/>
        </w:rPr>
        <w:t>as</w:t>
      </w:r>
      <w:r w:rsidRPr="00C00521">
        <w:rPr>
          <w:rFonts w:ascii="Arial" w:hAnsi="Arial" w:cs="Arial" w:hint="eastAsia"/>
          <w:kern w:val="0"/>
          <w:sz w:val="20"/>
          <w:szCs w:val="20"/>
        </w:rPr>
        <w:t xml:space="preserve"> show</w:t>
      </w:r>
      <w:r w:rsidRPr="00C00521">
        <w:rPr>
          <w:rFonts w:ascii="Arial" w:hAnsi="Arial" w:cs="Arial"/>
          <w:kern w:val="0"/>
          <w:sz w:val="20"/>
          <w:szCs w:val="20"/>
        </w:rPr>
        <w:t>n in the following figure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). </w:t>
      </w:r>
    </w:p>
    <w:p w:rsidR="00523BBD" w:rsidRPr="00D20086" w:rsidRDefault="00523BBD" w:rsidP="00523BBD">
      <w:pPr>
        <w:spacing w:beforeLines="50" w:before="156"/>
        <w:jc w:val="center"/>
        <w:rPr>
          <w:rFonts w:ascii="Arial" w:hAnsi="Arial" w:cs="Arial"/>
          <w:kern w:val="0"/>
          <w:sz w:val="20"/>
          <w:szCs w:val="20"/>
        </w:rPr>
      </w:pPr>
      <w:r w:rsidRPr="00F37895">
        <w:rPr>
          <w:rFonts w:hint="eastAsia"/>
          <w:noProof/>
        </w:rPr>
        <w:drawing>
          <wp:inline distT="0" distB="0" distL="0" distR="0" wp14:anchorId="5485CE6F" wp14:editId="2C4D58C2">
            <wp:extent cx="1131570" cy="11188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D" w:rsidRPr="00D20086" w:rsidRDefault="00523BBD" w:rsidP="00523BBD">
      <w:pPr>
        <w:spacing w:beforeLines="50" w:before="156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 w:hint="eastAsia"/>
          <w:kern w:val="0"/>
          <w:sz w:val="20"/>
          <w:szCs w:val="20"/>
        </w:rPr>
        <w:t>Under the same assumption of Equation (</w:t>
      </w:r>
      <w:r>
        <w:rPr>
          <w:rFonts w:ascii="Arial" w:hAnsi="Arial" w:cs="Arial"/>
          <w:kern w:val="0"/>
          <w:sz w:val="20"/>
          <w:szCs w:val="20"/>
        </w:rPr>
        <w:t>10</w:t>
      </w:r>
      <w:r>
        <w:rPr>
          <w:rFonts w:ascii="Arial" w:hAnsi="Arial" w:cs="Arial" w:hint="eastAsia"/>
          <w:kern w:val="0"/>
          <w:sz w:val="20"/>
          <w:szCs w:val="20"/>
        </w:rPr>
        <w:t>)</w:t>
      </w:r>
      <w:r>
        <w:rPr>
          <w:rFonts w:ascii="Arial" w:hAnsi="Arial" w:cs="Arial"/>
          <w:kern w:val="0"/>
          <w:sz w:val="20"/>
          <w:szCs w:val="20"/>
        </w:rPr>
        <w:t xml:space="preserve"> in the main text</w:t>
      </w:r>
      <w:r>
        <w:rPr>
          <w:rFonts w:ascii="Arial" w:hAnsi="Arial" w:cs="Arial" w:hint="eastAsia"/>
          <w:kern w:val="0"/>
          <w:sz w:val="20"/>
          <w:szCs w:val="20"/>
        </w:rPr>
        <w:t>, t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he following ODEs were built to generate the </w:t>
      </w:r>
      <w:bookmarkStart w:id="0" w:name="OLE_LINK18"/>
      <w:bookmarkStart w:id="1" w:name="OLE_LINK19"/>
      <w:r>
        <w:rPr>
          <w:rFonts w:ascii="Arial" w:hAnsi="Arial" w:cs="Arial" w:hint="eastAsia"/>
          <w:kern w:val="0"/>
          <w:sz w:val="20"/>
          <w:szCs w:val="20"/>
        </w:rPr>
        <w:t>gene expression changes along with the cancer progression</w:t>
      </w:r>
      <w:r w:rsidRPr="00D20086">
        <w:rPr>
          <w:rFonts w:ascii="Arial" w:hAnsi="Arial" w:cs="Arial" w:hint="eastAsia"/>
          <w:kern w:val="0"/>
          <w:sz w:val="20"/>
          <w:szCs w:val="20"/>
        </w:rPr>
        <w:t>,</w:t>
      </w:r>
      <w:bookmarkEnd w:id="0"/>
      <w:bookmarkEnd w:id="1"/>
      <w:r>
        <w:rPr>
          <w:rFonts w:ascii="Arial" w:hAnsi="Arial" w:cs="Arial" w:hint="eastAsia"/>
          <w:kern w:val="0"/>
          <w:sz w:val="20"/>
          <w:szCs w:val="20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621"/>
        <w:gridCol w:w="901"/>
      </w:tblGrid>
      <w:tr w:rsidR="00523BBD" w:rsidRPr="00D20086" w:rsidTr="007A5D64">
        <w:trPr>
          <w:trHeight w:val="506"/>
        </w:trPr>
        <w:tc>
          <w:tcPr>
            <w:tcW w:w="7621" w:type="dxa"/>
            <w:vAlign w:val="center"/>
          </w:tcPr>
          <w:bookmarkStart w:id="2" w:name="OLE_LINK15"/>
          <w:bookmarkStart w:id="3" w:name="OLE_LINK16"/>
          <w:bookmarkStart w:id="4" w:name="OLE_LINK17"/>
          <w:p w:rsidR="00523BBD" w:rsidRPr="00D20086" w:rsidRDefault="00523BBD" w:rsidP="007A5D6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86">
              <w:rPr>
                <w:rFonts w:ascii="Arial" w:hAnsi="Arial" w:cs="Arial"/>
                <w:position w:val="-30"/>
                <w:sz w:val="20"/>
                <w:szCs w:val="20"/>
              </w:rPr>
              <w:object w:dxaOrig="207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9pt;height:30.35pt" o:ole="">
                  <v:imagedata r:id="rId5" o:title=""/>
                </v:shape>
                <o:OLEObject Type="Embed" ProgID="Equation.DSMT4" ShapeID="_x0000_i1025" DrawAspect="Content" ObjectID="_1672503108" r:id="rId6"/>
              </w:object>
            </w:r>
            <w:bookmarkEnd w:id="2"/>
            <w:bookmarkEnd w:id="3"/>
            <w:bookmarkEnd w:id="4"/>
            <w:r w:rsidRPr="00D20086">
              <w:rPr>
                <w:rFonts w:ascii="Arial" w:hAnsi="Arial" w:cs="Arial"/>
                <w:kern w:val="0"/>
                <w:sz w:val="20"/>
                <w:szCs w:val="20"/>
              </w:rPr>
              <w:t xml:space="preserve">, </w:t>
            </w:r>
            <w:r w:rsidRPr="00D20086">
              <w:rPr>
                <w:rFonts w:ascii="Arial" w:hAnsi="Arial" w:cs="Arial"/>
                <w:position w:val="-10"/>
                <w:sz w:val="20"/>
                <w:szCs w:val="20"/>
              </w:rPr>
              <w:object w:dxaOrig="1340" w:dyaOrig="320">
                <v:shape id="_x0000_i1026" type="#_x0000_t75" style="width:65.2pt;height:15.35pt" o:ole="">
                  <v:imagedata r:id="rId7" o:title=""/>
                </v:shape>
                <o:OLEObject Type="Embed" ProgID="Equation.DSMT4" ShapeID="_x0000_i1026" DrawAspect="Content" ObjectID="_1672503109" r:id="rId8"/>
              </w:object>
            </w:r>
            <w:r w:rsidRPr="00D20086"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901" w:type="dxa"/>
            <w:vAlign w:val="center"/>
          </w:tcPr>
          <w:p w:rsidR="00523BBD" w:rsidRPr="00D20086" w:rsidRDefault="00523BBD" w:rsidP="007A5D64">
            <w:pPr>
              <w:rPr>
                <w:rFonts w:ascii="Arial" w:hAnsi="Arial" w:cs="Arial"/>
                <w:sz w:val="20"/>
                <w:szCs w:val="20"/>
              </w:rPr>
            </w:pPr>
            <w:r w:rsidRPr="00D2008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S22</w:t>
            </w:r>
            <w:r w:rsidRPr="00D200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3BBD" w:rsidRDefault="00523BBD" w:rsidP="00523BBD">
      <w:pPr>
        <w:spacing w:beforeLines="50" w:before="156"/>
        <w:rPr>
          <w:rFonts w:ascii="Arial" w:hAnsi="Arial" w:cs="Arial"/>
          <w:kern w:val="0"/>
          <w:sz w:val="20"/>
          <w:szCs w:val="20"/>
        </w:rPr>
      </w:pPr>
      <w:r w:rsidRPr="00D20086">
        <w:rPr>
          <w:rFonts w:ascii="Arial" w:hAnsi="Arial" w:cs="Arial" w:hint="eastAsia"/>
          <w:kern w:val="0"/>
          <w:sz w:val="20"/>
          <w:szCs w:val="20"/>
        </w:rPr>
        <w:t xml:space="preserve">The interaction </w:t>
      </w:r>
      <w:r w:rsidRPr="00D20086">
        <w:rPr>
          <w:rFonts w:ascii="Arial" w:hAnsi="Arial" w:cs="Arial"/>
          <w:kern w:val="0"/>
          <w:sz w:val="20"/>
          <w:szCs w:val="20"/>
        </w:rPr>
        <w:t>confidents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(</w:t>
      </w:r>
      <w:bookmarkStart w:id="5" w:name="OLE_LINK30"/>
      <w:bookmarkStart w:id="6" w:name="OLE_LINK31"/>
      <w:bookmarkStart w:id="7" w:name="OLE_LINK32"/>
      <w:proofErr w:type="spellStart"/>
      <w:r w:rsidRPr="00D20086">
        <w:rPr>
          <w:rFonts w:ascii="Times New Roman" w:hAnsi="Times New Roman"/>
          <w:i/>
          <w:kern w:val="0"/>
          <w:sz w:val="20"/>
          <w:szCs w:val="20"/>
        </w:rPr>
        <w:t>a</w:t>
      </w:r>
      <w:r w:rsidRPr="00D20086">
        <w:rPr>
          <w:rFonts w:ascii="Times New Roman" w:hAnsi="Times New Roman"/>
          <w:i/>
          <w:kern w:val="0"/>
          <w:sz w:val="20"/>
          <w:szCs w:val="20"/>
          <w:vertAlign w:val="subscript"/>
        </w:rPr>
        <w:t>ij</w:t>
      </w:r>
      <w:bookmarkEnd w:id="5"/>
      <w:bookmarkEnd w:id="6"/>
      <w:bookmarkEnd w:id="7"/>
      <w:proofErr w:type="spellEnd"/>
      <w:r w:rsidRPr="00D20086">
        <w:rPr>
          <w:rFonts w:ascii="Arial" w:hAnsi="Arial" w:cs="Arial" w:hint="eastAsia"/>
          <w:kern w:val="0"/>
          <w:sz w:val="20"/>
          <w:szCs w:val="20"/>
        </w:rPr>
        <w:t xml:space="preserve">) were given </w:t>
      </w:r>
      <w:r>
        <w:rPr>
          <w:rFonts w:ascii="Arial" w:hAnsi="Arial" w:cs="Arial" w:hint="eastAsia"/>
          <w:kern w:val="0"/>
          <w:sz w:val="20"/>
          <w:szCs w:val="20"/>
        </w:rPr>
        <w:t>by: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621"/>
        <w:gridCol w:w="901"/>
      </w:tblGrid>
      <w:tr w:rsidR="00523BBD" w:rsidRPr="00D20086" w:rsidTr="007A5D64">
        <w:trPr>
          <w:trHeight w:val="506"/>
        </w:trPr>
        <w:tc>
          <w:tcPr>
            <w:tcW w:w="7621" w:type="dxa"/>
            <w:vAlign w:val="center"/>
          </w:tcPr>
          <w:p w:rsidR="00523BBD" w:rsidRPr="00D20086" w:rsidRDefault="00523BBD" w:rsidP="007A5D6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F4E8F">
              <w:rPr>
                <w:rFonts w:ascii="Arial" w:hAnsi="Arial" w:cs="Arial"/>
                <w:position w:val="-102"/>
                <w:sz w:val="20"/>
                <w:szCs w:val="20"/>
              </w:rPr>
              <w:object w:dxaOrig="3420" w:dyaOrig="2160">
                <v:shape id="_x0000_i1027" type="#_x0000_t75" style="width:158.65pt;height:98.6pt" o:ole="">
                  <v:imagedata r:id="rId9" o:title=""/>
                </v:shape>
                <o:OLEObject Type="Embed" ProgID="Equation.DSMT4" ShapeID="_x0000_i1027" DrawAspect="Content" ObjectID="_1672503110" r:id="rId10"/>
              </w:object>
            </w:r>
            <w:r w:rsidRPr="00D20086">
              <w:rPr>
                <w:rFonts w:ascii="Arial" w:hAnsi="Arial" w:cs="Arial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901" w:type="dxa"/>
            <w:vAlign w:val="center"/>
          </w:tcPr>
          <w:p w:rsidR="00523BBD" w:rsidRPr="00D20086" w:rsidRDefault="00523BBD" w:rsidP="007A5D64">
            <w:pPr>
              <w:rPr>
                <w:rFonts w:ascii="Arial" w:hAnsi="Arial" w:cs="Arial"/>
                <w:sz w:val="20"/>
                <w:szCs w:val="20"/>
              </w:rPr>
            </w:pPr>
            <w:r w:rsidRPr="00D2008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S23</w:t>
            </w:r>
            <w:r w:rsidRPr="00D200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3BBD" w:rsidRDefault="00523BBD" w:rsidP="00523BBD">
      <w:pPr>
        <w:spacing w:beforeLines="50" w:before="156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 w:hint="eastAsia"/>
          <w:kern w:val="0"/>
          <w:sz w:val="20"/>
          <w:szCs w:val="20"/>
        </w:rPr>
        <w:t>T</w:t>
      </w:r>
      <w:r w:rsidRPr="00D20086">
        <w:rPr>
          <w:rFonts w:ascii="Arial" w:hAnsi="Arial" w:cs="Arial" w:hint="eastAsia"/>
          <w:kern w:val="0"/>
          <w:sz w:val="20"/>
          <w:szCs w:val="20"/>
        </w:rPr>
        <w:t>he degradation rates (</w:t>
      </w:r>
      <w:r>
        <w:rPr>
          <w:rFonts w:ascii="Times New Roman" w:hAnsi="Times New Roman" w:hint="eastAsia"/>
          <w:i/>
          <w:kern w:val="0"/>
          <w:sz w:val="20"/>
          <w:szCs w:val="20"/>
        </w:rPr>
        <w:t>d</w:t>
      </w:r>
      <w:r>
        <w:rPr>
          <w:rFonts w:ascii="Times New Roman" w:hAnsi="Times New Roman"/>
          <w:i/>
          <w:kern w:val="0"/>
          <w:sz w:val="20"/>
          <w:szCs w:val="20"/>
          <w:vertAlign w:val="subscript"/>
        </w:rPr>
        <w:t>i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) were set </w:t>
      </w:r>
      <w:r>
        <w:rPr>
          <w:rFonts w:ascii="Arial" w:hAnsi="Arial" w:cs="Arial" w:hint="eastAsia"/>
          <w:kern w:val="0"/>
          <w:sz w:val="20"/>
          <w:szCs w:val="20"/>
        </w:rPr>
        <w:t>as follows: (</w:t>
      </w:r>
      <w:bookmarkStart w:id="8" w:name="OLE_LINK20"/>
      <w:bookmarkStart w:id="9" w:name="OLE_LINK21"/>
      <w:bookmarkStart w:id="10" w:name="OLE_LINK22"/>
      <w:bookmarkStart w:id="11" w:name="OLE_LINK23"/>
      <w:bookmarkStart w:id="12" w:name="OLE_LINK24"/>
      <w:r>
        <w:rPr>
          <w:rFonts w:ascii="Times New Roman" w:hAnsi="Times New Roman" w:cs="Times New Roman"/>
          <w:kern w:val="0"/>
          <w:sz w:val="20"/>
          <w:szCs w:val="20"/>
        </w:rPr>
        <w:t>-1</w:t>
      </w:r>
      <w:r w:rsidRPr="00395CD6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kern w:val="0"/>
          <w:sz w:val="20"/>
          <w:szCs w:val="20"/>
        </w:rPr>
        <w:t>-0.5</w:t>
      </w:r>
      <w:r w:rsidRPr="00395CD6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kern w:val="0"/>
          <w:sz w:val="20"/>
          <w:szCs w:val="20"/>
        </w:rPr>
        <w:t>-1</w:t>
      </w:r>
      <w:r w:rsidRPr="00395CD6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kern w:val="0"/>
          <w:sz w:val="20"/>
          <w:szCs w:val="20"/>
        </w:rPr>
        <w:t>-0.1, -1</w:t>
      </w:r>
      <w:r w:rsidRPr="00395CD6"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hAnsi="Times New Roman" w:cs="Times New Roman"/>
          <w:kern w:val="0"/>
          <w:sz w:val="20"/>
          <w:szCs w:val="20"/>
        </w:rPr>
        <w:t>-1</w:t>
      </w:r>
      <w:r>
        <w:rPr>
          <w:rFonts w:ascii="Arial" w:hAnsi="Arial" w:cs="Arial" w:hint="eastAsia"/>
          <w:kern w:val="0"/>
          <w:sz w:val="20"/>
          <w:szCs w:val="20"/>
        </w:rPr>
        <w:t>). The initial value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of </w:t>
      </w:r>
      <w:r>
        <w:rPr>
          <w:rFonts w:ascii="Arial" w:hAnsi="Arial" w:cs="Arial" w:hint="eastAsia"/>
          <w:kern w:val="0"/>
          <w:sz w:val="20"/>
          <w:szCs w:val="20"/>
        </w:rPr>
        <w:t>each gene expression level in the above ODEs was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set as </w:t>
      </w:r>
      <w:r>
        <w:rPr>
          <w:rFonts w:ascii="Arial" w:hAnsi="Arial" w:cs="Arial"/>
          <w:kern w:val="0"/>
          <w:sz w:val="20"/>
          <w:szCs w:val="20"/>
        </w:rPr>
        <w:t>standardized</w:t>
      </w:r>
      <w:r>
        <w:rPr>
          <w:rFonts w:ascii="Arial" w:hAnsi="Arial" w:cs="Arial" w:hint="eastAsia"/>
          <w:kern w:val="0"/>
          <w:sz w:val="20"/>
          <w:szCs w:val="20"/>
        </w:rPr>
        <w:t xml:space="preserve"> 1</w:t>
      </w:r>
      <w:r w:rsidRPr="00D20086">
        <w:rPr>
          <w:rFonts w:ascii="Arial" w:hAnsi="Arial" w:cs="Arial" w:hint="eastAsia"/>
          <w:kern w:val="0"/>
          <w:sz w:val="20"/>
          <w:szCs w:val="20"/>
        </w:rPr>
        <w:t>. By numerically solve the above ODEs we obtai</w:t>
      </w:r>
      <w:r>
        <w:rPr>
          <w:rFonts w:ascii="Arial" w:hAnsi="Arial" w:cs="Arial" w:hint="eastAsia"/>
          <w:kern w:val="0"/>
          <w:sz w:val="20"/>
          <w:szCs w:val="20"/>
        </w:rPr>
        <w:t>n a set of time series data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. </w:t>
      </w:r>
      <w:r>
        <w:rPr>
          <w:rFonts w:ascii="Arial" w:hAnsi="Arial" w:cs="Arial" w:hint="eastAsia"/>
          <w:kern w:val="0"/>
          <w:sz w:val="20"/>
          <w:szCs w:val="20"/>
        </w:rPr>
        <w:t>W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e </w:t>
      </w:r>
      <w:r>
        <w:rPr>
          <w:rFonts w:ascii="Arial" w:hAnsi="Arial" w:cs="Arial" w:hint="eastAsia"/>
          <w:kern w:val="0"/>
          <w:sz w:val="20"/>
          <w:szCs w:val="20"/>
        </w:rPr>
        <w:t xml:space="preserve">uniformly 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sampled data </w:t>
      </w:r>
      <w:r>
        <w:rPr>
          <w:rFonts w:ascii="Arial" w:hAnsi="Arial" w:cs="Arial" w:hint="eastAsia"/>
          <w:kern w:val="0"/>
          <w:sz w:val="20"/>
          <w:szCs w:val="20"/>
        </w:rPr>
        <w:t>to mimic gene expression profile of 100 patients ordered along with progression status (</w:t>
      </w:r>
      <w:r w:rsidRPr="00C8787A">
        <w:rPr>
          <w:rFonts w:ascii="Arial" w:hAnsi="Arial" w:cs="Arial" w:hint="eastAsia"/>
          <w:b/>
          <w:kern w:val="0"/>
          <w:sz w:val="20"/>
          <w:szCs w:val="20"/>
        </w:rPr>
        <w:t>Fig S1a</w:t>
      </w:r>
      <w:r>
        <w:rPr>
          <w:rFonts w:ascii="Arial" w:hAnsi="Arial" w:cs="Arial" w:hint="eastAsia"/>
          <w:kern w:val="0"/>
          <w:sz w:val="20"/>
          <w:szCs w:val="20"/>
        </w:rPr>
        <w:t>)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. </w:t>
      </w:r>
      <w:r>
        <w:rPr>
          <w:rFonts w:ascii="Arial" w:hAnsi="Arial" w:cs="Arial" w:hint="eastAsia"/>
          <w:kern w:val="0"/>
          <w:sz w:val="20"/>
          <w:szCs w:val="20"/>
        </w:rPr>
        <w:t xml:space="preserve">The </w:t>
      </w:r>
      <w:r>
        <w:rPr>
          <w:rFonts w:ascii="Arial" w:hAnsi="Arial" w:cs="Arial"/>
          <w:kern w:val="0"/>
          <w:sz w:val="20"/>
          <w:szCs w:val="20"/>
        </w:rPr>
        <w:t>IDs</w:t>
      </w:r>
      <w:r>
        <w:rPr>
          <w:rFonts w:ascii="Arial" w:hAnsi="Arial" w:cs="Arial" w:hint="eastAsia"/>
          <w:kern w:val="0"/>
          <w:sz w:val="20"/>
          <w:szCs w:val="20"/>
        </w:rPr>
        <w:t xml:space="preserve"> of</w:t>
      </w:r>
      <w:r>
        <w:rPr>
          <w:rFonts w:ascii="Arial" w:hAnsi="Arial" w:cs="Arial"/>
          <w:kern w:val="0"/>
          <w:sz w:val="20"/>
          <w:szCs w:val="20"/>
        </w:rPr>
        <w:t xml:space="preserve"> samples were</w:t>
      </w:r>
      <w:r>
        <w:rPr>
          <w:rFonts w:ascii="Arial" w:hAnsi="Arial" w:cs="Arial" w:hint="eastAsia"/>
          <w:kern w:val="0"/>
          <w:sz w:val="20"/>
          <w:szCs w:val="20"/>
        </w:rPr>
        <w:t xml:space="preserve"> then randomized to represent a set of transcriptomic data of cancer patients, </w:t>
      </w:r>
      <w:proofErr w:type="gramStart"/>
      <w:r>
        <w:rPr>
          <w:rFonts w:ascii="Arial" w:hAnsi="Arial" w:cs="Arial" w:hint="eastAsia"/>
          <w:kern w:val="0"/>
          <w:sz w:val="20"/>
          <w:szCs w:val="20"/>
        </w:rPr>
        <w:t>assuming that</w:t>
      </w:r>
      <w:proofErr w:type="gramEnd"/>
      <w:r>
        <w:rPr>
          <w:rFonts w:ascii="Arial" w:hAnsi="Arial" w:cs="Arial" w:hint="eastAsia"/>
          <w:kern w:val="0"/>
          <w:sz w:val="20"/>
          <w:szCs w:val="20"/>
        </w:rPr>
        <w:t xml:space="preserve"> their progression </w:t>
      </w:r>
      <w:r>
        <w:rPr>
          <w:rFonts w:ascii="Arial" w:hAnsi="Arial" w:cs="Arial"/>
          <w:kern w:val="0"/>
          <w:sz w:val="20"/>
          <w:szCs w:val="20"/>
        </w:rPr>
        <w:t xml:space="preserve">statuses </w:t>
      </w:r>
      <w:r>
        <w:rPr>
          <w:rFonts w:ascii="Arial" w:hAnsi="Arial" w:cs="Arial" w:hint="eastAsia"/>
          <w:kern w:val="0"/>
          <w:sz w:val="20"/>
          <w:szCs w:val="20"/>
        </w:rPr>
        <w:t>were unknown (</w:t>
      </w:r>
      <w:r>
        <w:rPr>
          <w:rFonts w:ascii="Arial" w:hAnsi="Arial" w:cs="Arial" w:hint="eastAsia"/>
          <w:b/>
          <w:kern w:val="0"/>
          <w:sz w:val="20"/>
          <w:szCs w:val="20"/>
        </w:rPr>
        <w:t>Fig S1b</w:t>
      </w:r>
      <w:r>
        <w:rPr>
          <w:rFonts w:ascii="Arial" w:hAnsi="Arial" w:cs="Arial" w:hint="eastAsia"/>
          <w:kern w:val="0"/>
          <w:sz w:val="20"/>
          <w:szCs w:val="20"/>
        </w:rPr>
        <w:t xml:space="preserve">). </w:t>
      </w:r>
    </w:p>
    <w:p w:rsidR="00523BBD" w:rsidRPr="00D20086" w:rsidRDefault="00523BBD" w:rsidP="00523BBD">
      <w:pPr>
        <w:spacing w:beforeLines="50" w:before="156"/>
        <w:rPr>
          <w:rFonts w:ascii="Arial" w:hAnsi="Arial" w:cs="Arial"/>
          <w:kern w:val="0"/>
          <w:sz w:val="20"/>
          <w:szCs w:val="20"/>
        </w:rPr>
      </w:pPr>
      <w:r w:rsidRPr="00D20086">
        <w:rPr>
          <w:rFonts w:ascii="Arial" w:hAnsi="Arial" w:cs="Arial"/>
          <w:kern w:val="0"/>
          <w:sz w:val="20"/>
          <w:szCs w:val="20"/>
        </w:rPr>
        <w:t>B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ased on the </w:t>
      </w:r>
      <w:r>
        <w:rPr>
          <w:rFonts w:ascii="Arial" w:hAnsi="Arial" w:cs="Arial" w:hint="eastAsia"/>
          <w:kern w:val="0"/>
          <w:sz w:val="20"/>
          <w:szCs w:val="20"/>
        </w:rPr>
        <w:t xml:space="preserve">sample-randomized 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data, we evaluated whether the </w:t>
      </w:r>
      <w:r>
        <w:rPr>
          <w:rFonts w:ascii="Arial" w:hAnsi="Arial" w:cs="Arial" w:hint="eastAsia"/>
          <w:kern w:val="0"/>
          <w:sz w:val="20"/>
          <w:szCs w:val="20"/>
        </w:rPr>
        <w:t xml:space="preserve">proposed 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method </w:t>
      </w:r>
      <w:r>
        <w:rPr>
          <w:rFonts w:ascii="Arial" w:hAnsi="Arial" w:cs="Arial" w:hint="eastAsia"/>
          <w:kern w:val="0"/>
          <w:sz w:val="20"/>
          <w:szCs w:val="20"/>
        </w:rPr>
        <w:t>could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kern w:val="0"/>
          <w:sz w:val="20"/>
          <w:szCs w:val="20"/>
        </w:rPr>
        <w:t xml:space="preserve">recover the progression ordering and gene expression dynamics, and whether it could 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reconstruct the gene </w:t>
      </w:r>
      <w:r>
        <w:rPr>
          <w:rFonts w:ascii="Arial" w:hAnsi="Arial" w:cs="Arial"/>
          <w:kern w:val="0"/>
          <w:sz w:val="20"/>
          <w:szCs w:val="20"/>
        </w:rPr>
        <w:t>regulatory</w:t>
      </w:r>
      <w:r>
        <w:rPr>
          <w:rFonts w:ascii="Arial" w:hAnsi="Arial" w:cs="Arial" w:hint="eastAsia"/>
          <w:kern w:val="0"/>
          <w:sz w:val="20"/>
          <w:szCs w:val="20"/>
        </w:rPr>
        <w:t xml:space="preserve"> network (GRN)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.  </w:t>
      </w:r>
    </w:p>
    <w:p w:rsidR="00523BBD" w:rsidRDefault="00523BBD" w:rsidP="00523BBD">
      <w:pPr>
        <w:spacing w:beforeLines="50" w:before="156"/>
        <w:rPr>
          <w:rFonts w:ascii="Arial" w:hAnsi="Arial" w:cs="Arial"/>
          <w:kern w:val="0"/>
          <w:sz w:val="20"/>
          <w:szCs w:val="20"/>
        </w:rPr>
      </w:pPr>
      <w:r w:rsidRPr="00D20086">
        <w:rPr>
          <w:rFonts w:ascii="Arial" w:hAnsi="Arial" w:cs="Arial" w:hint="eastAsia"/>
          <w:kern w:val="0"/>
          <w:sz w:val="20"/>
          <w:szCs w:val="20"/>
        </w:rPr>
        <w:t xml:space="preserve">We </w:t>
      </w:r>
      <w:r>
        <w:rPr>
          <w:rFonts w:ascii="Arial" w:hAnsi="Arial" w:cs="Arial" w:hint="eastAsia"/>
          <w:kern w:val="0"/>
          <w:sz w:val="20"/>
          <w:szCs w:val="20"/>
        </w:rPr>
        <w:t xml:space="preserve">first 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used the </w:t>
      </w:r>
      <w:r>
        <w:rPr>
          <w:rFonts w:ascii="Arial" w:hAnsi="Arial" w:cs="Arial"/>
          <w:kern w:val="0"/>
          <w:sz w:val="20"/>
          <w:szCs w:val="20"/>
        </w:rPr>
        <w:t>developed</w:t>
      </w:r>
      <w:r>
        <w:rPr>
          <w:rFonts w:ascii="Arial" w:hAnsi="Arial" w:cs="Arial" w:hint="eastAsia"/>
          <w:kern w:val="0"/>
          <w:sz w:val="20"/>
          <w:szCs w:val="20"/>
        </w:rPr>
        <w:t xml:space="preserve"> graph-based random walk method to quantify the temporal progression distance of patients to the inferred </w:t>
      </w:r>
      <w:r>
        <w:rPr>
          <w:rFonts w:ascii="Arial" w:hAnsi="Arial" w:cs="Arial"/>
          <w:kern w:val="0"/>
          <w:sz w:val="20"/>
          <w:szCs w:val="20"/>
        </w:rPr>
        <w:t>‘</w:t>
      </w:r>
      <w:r>
        <w:rPr>
          <w:rFonts w:ascii="Arial" w:hAnsi="Arial" w:cs="Arial" w:hint="eastAsia"/>
          <w:kern w:val="0"/>
          <w:sz w:val="20"/>
          <w:szCs w:val="20"/>
        </w:rPr>
        <w:t>root</w:t>
      </w:r>
      <w:r>
        <w:rPr>
          <w:rFonts w:ascii="Arial" w:hAnsi="Arial" w:cs="Arial"/>
          <w:kern w:val="0"/>
          <w:sz w:val="20"/>
          <w:szCs w:val="20"/>
        </w:rPr>
        <w:t>’</w:t>
      </w:r>
      <w:r>
        <w:rPr>
          <w:rFonts w:ascii="Arial" w:hAnsi="Arial" w:cs="Arial" w:hint="eastAsia"/>
          <w:kern w:val="0"/>
          <w:sz w:val="20"/>
          <w:szCs w:val="20"/>
        </w:rPr>
        <w:t xml:space="preserve"> in a simulated cohort. The </w:t>
      </w:r>
      <w:r>
        <w:rPr>
          <w:rFonts w:ascii="Arial" w:hAnsi="Arial" w:cs="Arial"/>
          <w:kern w:val="0"/>
          <w:sz w:val="20"/>
          <w:szCs w:val="20"/>
        </w:rPr>
        <w:t>inferred</w:t>
      </w:r>
      <w:r>
        <w:rPr>
          <w:rFonts w:ascii="Arial" w:hAnsi="Arial" w:cs="Arial" w:hint="eastAsia"/>
          <w:kern w:val="0"/>
          <w:sz w:val="20"/>
          <w:szCs w:val="20"/>
        </w:rPr>
        <w:t xml:space="preserve"> progression score of each patient was compared to the true progression. Along with the </w:t>
      </w:r>
      <w:r>
        <w:rPr>
          <w:rFonts w:ascii="Arial" w:hAnsi="Arial" w:cs="Arial"/>
          <w:kern w:val="0"/>
          <w:sz w:val="20"/>
          <w:szCs w:val="20"/>
        </w:rPr>
        <w:t>inferred</w:t>
      </w:r>
      <w:r>
        <w:rPr>
          <w:rFonts w:ascii="Arial" w:hAnsi="Arial" w:cs="Arial" w:hint="eastAsia"/>
          <w:kern w:val="0"/>
          <w:sz w:val="20"/>
          <w:szCs w:val="20"/>
        </w:rPr>
        <w:t xml:space="preserve"> progression trajectory, the course of gene expression was constructed. Subsequently, the GRN was reconstructed using Bayesian Lasso method as describe above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. </w:t>
      </w:r>
    </w:p>
    <w:p w:rsidR="00523BBD" w:rsidRDefault="00523BBD" w:rsidP="00523BBD">
      <w:pPr>
        <w:widowControl/>
        <w:spacing w:beforeLines="50" w:before="1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A</w:t>
      </w:r>
      <w:r w:rsidRPr="0093326D">
        <w:rPr>
          <w:rFonts w:ascii="Arial" w:hAnsi="Arial" w:cs="Arial"/>
          <w:color w:val="000000"/>
          <w:sz w:val="20"/>
          <w:szCs w:val="20"/>
        </w:rPr>
        <w:t xml:space="preserve">n interaction was </w:t>
      </w:r>
      <w:r>
        <w:rPr>
          <w:rFonts w:ascii="Arial" w:hAnsi="Arial" w:cs="Arial" w:hint="eastAsia"/>
          <w:color w:val="000000"/>
          <w:sz w:val="20"/>
          <w:szCs w:val="20"/>
        </w:rPr>
        <w:t>viewed</w:t>
      </w:r>
      <w:r w:rsidRPr="0093326D">
        <w:rPr>
          <w:rFonts w:ascii="Arial" w:hAnsi="Arial" w:cs="Arial"/>
          <w:color w:val="000000"/>
          <w:sz w:val="20"/>
          <w:szCs w:val="20"/>
        </w:rPr>
        <w:t xml:space="preserve"> present if </w:t>
      </w:r>
      <w:bookmarkStart w:id="13" w:name="_Hlk14807079"/>
      <w:r w:rsidRPr="0093326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980F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k</w:t>
      </w:r>
      <w:r w:rsidRPr="00980F8D">
        <w:rPr>
          <w:rFonts w:ascii="Times New Roman" w:hAnsi="Times New Roman" w:cs="Times New Roman"/>
          <w:color w:val="000000"/>
          <w:sz w:val="20"/>
          <w:szCs w:val="20"/>
        </w:rPr>
        <w:t>%</w:t>
      </w:r>
      <w:r w:rsidRPr="0093326D">
        <w:rPr>
          <w:rFonts w:ascii="Arial" w:hAnsi="Arial" w:cs="Arial"/>
          <w:color w:val="000000"/>
          <w:sz w:val="20"/>
          <w:szCs w:val="20"/>
        </w:rPr>
        <w:t xml:space="preserve"> credible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93326D">
        <w:rPr>
          <w:rFonts w:ascii="Arial" w:hAnsi="Arial" w:cs="Arial"/>
          <w:color w:val="000000"/>
          <w:sz w:val="20"/>
          <w:szCs w:val="20"/>
        </w:rPr>
        <w:t xml:space="preserve">interval </w:t>
      </w:r>
      <w:r>
        <w:rPr>
          <w:rFonts w:ascii="Arial" w:hAnsi="Arial" w:cs="Arial"/>
          <w:color w:val="000000"/>
          <w:sz w:val="20"/>
          <w:szCs w:val="20"/>
        </w:rPr>
        <w:t>(CI)</w:t>
      </w:r>
      <w:bookmarkEnd w:id="13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326D">
        <w:rPr>
          <w:rFonts w:ascii="Arial" w:hAnsi="Arial" w:cs="Arial"/>
          <w:color w:val="000000"/>
          <w:sz w:val="20"/>
          <w:szCs w:val="20"/>
        </w:rPr>
        <w:t>for corresponding interactio</w:t>
      </w:r>
      <w:r>
        <w:rPr>
          <w:rFonts w:ascii="Arial" w:hAnsi="Arial" w:cs="Arial"/>
          <w:color w:val="000000"/>
          <w:sz w:val="20"/>
          <w:szCs w:val="20"/>
        </w:rPr>
        <w:t>n coe</w:t>
      </w:r>
      <w:r>
        <w:rPr>
          <w:rFonts w:ascii="Arial" w:hAnsi="Arial" w:cs="Arial" w:hint="eastAsia"/>
          <w:color w:val="000000"/>
          <w:sz w:val="20"/>
          <w:szCs w:val="20"/>
        </w:rPr>
        <w:t>ffi</w:t>
      </w:r>
      <w:r w:rsidRPr="0093326D">
        <w:rPr>
          <w:rFonts w:ascii="Arial" w:hAnsi="Arial" w:cs="Arial"/>
          <w:color w:val="000000"/>
          <w:sz w:val="20"/>
          <w:szCs w:val="20"/>
        </w:rPr>
        <w:t xml:space="preserve">cient </w:t>
      </w:r>
      <w:proofErr w:type="spellStart"/>
      <w:r w:rsidRPr="00D20086">
        <w:rPr>
          <w:rFonts w:ascii="Times New Roman" w:hAnsi="Times New Roman"/>
          <w:i/>
          <w:kern w:val="0"/>
          <w:sz w:val="20"/>
          <w:szCs w:val="20"/>
        </w:rPr>
        <w:t>a</w:t>
      </w:r>
      <w:r w:rsidRPr="00D20086">
        <w:rPr>
          <w:rFonts w:ascii="Times New Roman" w:hAnsi="Times New Roman"/>
          <w:i/>
          <w:kern w:val="0"/>
          <w:sz w:val="20"/>
          <w:szCs w:val="20"/>
          <w:vertAlign w:val="subscript"/>
        </w:rPr>
        <w:t>ij</w:t>
      </w:r>
      <w:proofErr w:type="spellEnd"/>
      <w:r w:rsidRPr="009332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3326D">
        <w:rPr>
          <w:rFonts w:ascii="Arial" w:hAnsi="Arial" w:cs="Arial"/>
          <w:color w:val="000000"/>
          <w:sz w:val="20"/>
          <w:szCs w:val="20"/>
        </w:rPr>
        <w:t>did not contain zero</w:t>
      </w:r>
      <w:r>
        <w:rPr>
          <w:rFonts w:ascii="Arial" w:hAnsi="Arial" w:cs="Arial" w:hint="eastAsia"/>
          <w:color w:val="000000"/>
          <w:sz w:val="20"/>
          <w:szCs w:val="20"/>
        </w:rPr>
        <w:t>, otherwise absence</w:t>
      </w:r>
      <w:r w:rsidRPr="0093326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 defined the following score to quantify the presence probability of each predicted interaction from gene</w:t>
      </w:r>
      <w:r w:rsidRPr="009655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55C6">
        <w:rPr>
          <w:rFonts w:ascii="Times New Roman" w:hAnsi="Times New Roman" w:cs="Times New Roman"/>
          <w:i/>
          <w:color w:val="000000"/>
          <w:sz w:val="20"/>
          <w:szCs w:val="20"/>
        </w:rPr>
        <w:t>j</w:t>
      </w:r>
      <w:r w:rsidRPr="009655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gene</w:t>
      </w:r>
      <w:r w:rsidRPr="009655C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655C6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621"/>
        <w:gridCol w:w="901"/>
      </w:tblGrid>
      <w:tr w:rsidR="00523BBD" w:rsidRPr="00D20086" w:rsidTr="007A5D64">
        <w:trPr>
          <w:trHeight w:val="506"/>
        </w:trPr>
        <w:tc>
          <w:tcPr>
            <w:tcW w:w="7621" w:type="dxa"/>
            <w:vAlign w:val="center"/>
          </w:tcPr>
          <w:p w:rsidR="00523BBD" w:rsidRPr="00D20086" w:rsidRDefault="00523BBD" w:rsidP="007A5D6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30418">
              <w:rPr>
                <w:rFonts w:ascii="Arial" w:hAnsi="Arial" w:cs="Arial"/>
                <w:position w:val="-20"/>
                <w:sz w:val="20"/>
                <w:szCs w:val="20"/>
              </w:rPr>
              <w:object w:dxaOrig="2680" w:dyaOrig="520">
                <v:shape id="_x0000_i1028" type="#_x0000_t75" style="width:124.9pt;height:22.85pt" o:ole="">
                  <v:imagedata r:id="rId11" o:title=""/>
                </v:shape>
                <o:OLEObject Type="Embed" ProgID="Equation.DSMT4" ShapeID="_x0000_i1028" DrawAspect="Content" ObjectID="_1672503111" r:id="rId12"/>
              </w:object>
            </w:r>
            <w:r w:rsidRPr="00D20086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901" w:type="dxa"/>
            <w:vAlign w:val="center"/>
          </w:tcPr>
          <w:p w:rsidR="00523BBD" w:rsidRPr="00D20086" w:rsidRDefault="00523BBD" w:rsidP="007A5D64">
            <w:pPr>
              <w:rPr>
                <w:rFonts w:ascii="Arial" w:hAnsi="Arial" w:cs="Arial"/>
                <w:sz w:val="20"/>
                <w:szCs w:val="20"/>
              </w:rPr>
            </w:pPr>
            <w:r w:rsidRPr="00D2008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S24</w:t>
            </w:r>
            <w:r w:rsidRPr="00D200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3BBD" w:rsidRDefault="00523BBD" w:rsidP="00523BBD">
      <w:pPr>
        <w:spacing w:beforeLines="50" w:before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</w:t>
      </w:r>
      <w:r w:rsidRPr="005A1779">
        <w:rPr>
          <w:position w:val="-16"/>
        </w:rPr>
        <w:object w:dxaOrig="859" w:dyaOrig="440">
          <v:shape id="_x0000_i1029" type="#_x0000_t75" style="width:35.15pt;height:17.4pt" o:ole="">
            <v:imagedata r:id="rId13" o:title=""/>
          </v:shape>
          <o:OLEObject Type="Embed" ProgID="Equation.DSMT4" ShapeID="_x0000_i1029" DrawAspect="Content" ObjectID="_1672503112" r:id="rId14"/>
        </w:object>
      </w:r>
      <w:r>
        <w:t xml:space="preserve"> </w:t>
      </w:r>
      <w:r w:rsidRPr="009A619D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the </w:t>
      </w:r>
      <w:r w:rsidRPr="00980F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k</w:t>
      </w:r>
      <w:r w:rsidRPr="00980F8D">
        <w:rPr>
          <w:rFonts w:ascii="Times New Roman" w:hAnsi="Times New Roman" w:cs="Times New Roman"/>
          <w:color w:val="00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CI of posterior distribution of </w:t>
      </w:r>
      <w:proofErr w:type="spellStart"/>
      <w:proofErr w:type="gramStart"/>
      <w:r w:rsidRPr="00D20086">
        <w:rPr>
          <w:rFonts w:ascii="Times New Roman" w:hAnsi="Times New Roman"/>
          <w:i/>
          <w:kern w:val="0"/>
          <w:sz w:val="20"/>
          <w:szCs w:val="20"/>
        </w:rPr>
        <w:t>a</w:t>
      </w:r>
      <w:r w:rsidRPr="00D20086">
        <w:rPr>
          <w:rFonts w:ascii="Times New Roman" w:hAnsi="Times New Roman"/>
          <w:i/>
          <w:kern w:val="0"/>
          <w:sz w:val="20"/>
          <w:szCs w:val="20"/>
          <w:vertAlign w:val="subscript"/>
        </w:rPr>
        <w:t>ij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523BBD" w:rsidRPr="00D20086" w:rsidRDefault="00523BBD" w:rsidP="00523BBD">
      <w:pPr>
        <w:spacing w:beforeLines="50" w:before="156"/>
        <w:rPr>
          <w:rFonts w:ascii="Arial" w:hAnsi="Arial" w:cs="Arial"/>
          <w:kern w:val="0"/>
          <w:sz w:val="20"/>
          <w:szCs w:val="20"/>
        </w:rPr>
      </w:pPr>
      <w:r w:rsidRPr="0093326D">
        <w:rPr>
          <w:rFonts w:ascii="Arial" w:hAnsi="Arial" w:cs="Arial"/>
          <w:color w:val="000000"/>
          <w:sz w:val="20"/>
          <w:szCs w:val="20"/>
        </w:rPr>
        <w:t xml:space="preserve">The area under the receiver operator curve (AUC ROC) for presence/absence of </w:t>
      </w:r>
      <w:r>
        <w:rPr>
          <w:rFonts w:ascii="Arial" w:hAnsi="Arial" w:cs="Arial"/>
          <w:color w:val="000000"/>
          <w:sz w:val="20"/>
          <w:szCs w:val="20"/>
        </w:rPr>
        <w:t>interactions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was used as a metric to evaluate the effectiveness of our </w:t>
      </w:r>
      <w:r>
        <w:rPr>
          <w:rFonts w:ascii="Arial" w:hAnsi="Arial" w:cs="Arial"/>
          <w:color w:val="000000"/>
          <w:sz w:val="20"/>
          <w:szCs w:val="20"/>
        </w:rPr>
        <w:t>method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for recovering the network structure. </w:t>
      </w:r>
      <w:r w:rsidRPr="00D20086">
        <w:rPr>
          <w:rFonts w:ascii="Arial" w:hAnsi="Arial" w:cs="Arial"/>
          <w:kern w:val="0"/>
          <w:sz w:val="20"/>
          <w:szCs w:val="20"/>
        </w:rPr>
        <w:t xml:space="preserve">True positive rate (TPR) and false positive rate (FPR) </w:t>
      </w:r>
      <w:r>
        <w:rPr>
          <w:rFonts w:ascii="Arial" w:hAnsi="Arial" w:cs="Arial" w:hint="eastAsia"/>
          <w:kern w:val="0"/>
          <w:sz w:val="20"/>
          <w:szCs w:val="20"/>
        </w:rPr>
        <w:t xml:space="preserve">for the </w:t>
      </w:r>
      <w:r>
        <w:rPr>
          <w:rFonts w:ascii="Arial" w:hAnsi="Arial" w:cs="Arial"/>
          <w:kern w:val="0"/>
          <w:sz w:val="20"/>
          <w:szCs w:val="20"/>
        </w:rPr>
        <w:t>inferred</w:t>
      </w:r>
      <w:r>
        <w:rPr>
          <w:rFonts w:ascii="Arial" w:hAnsi="Arial" w:cs="Arial" w:hint="eastAsia"/>
          <w:kern w:val="0"/>
          <w:sz w:val="20"/>
          <w:szCs w:val="20"/>
        </w:rPr>
        <w:t xml:space="preserve"> network compared to the ground-truth network </w:t>
      </w:r>
      <w:r w:rsidRPr="00D20086">
        <w:rPr>
          <w:rFonts w:ascii="Arial" w:hAnsi="Arial" w:cs="Arial"/>
          <w:kern w:val="0"/>
          <w:sz w:val="20"/>
          <w:szCs w:val="20"/>
        </w:rPr>
        <w:t xml:space="preserve">are defined by </w:t>
      </w:r>
      <w:r>
        <w:rPr>
          <w:rFonts w:ascii="Arial" w:hAnsi="Arial" w:cs="Arial" w:hint="eastAsia"/>
          <w:kern w:val="0"/>
          <w:sz w:val="20"/>
          <w:szCs w:val="20"/>
        </w:rPr>
        <w:t>the following e</w:t>
      </w:r>
      <w:r w:rsidRPr="00D20086">
        <w:rPr>
          <w:rFonts w:ascii="Arial" w:hAnsi="Arial" w:cs="Arial" w:hint="eastAsia"/>
          <w:kern w:val="0"/>
          <w:sz w:val="20"/>
          <w:szCs w:val="20"/>
        </w:rPr>
        <w:t>quations</w:t>
      </w:r>
      <w:r>
        <w:rPr>
          <w:rFonts w:ascii="Arial" w:hAnsi="Arial" w:cs="Arial" w:hint="eastAsia"/>
          <w:kern w:val="0"/>
          <w:sz w:val="20"/>
          <w:szCs w:val="20"/>
        </w:rPr>
        <w:t xml:space="preserve">, </w:t>
      </w:r>
      <w:r w:rsidRPr="00D20086">
        <w:rPr>
          <w:rFonts w:ascii="Arial" w:hAnsi="Arial" w:cs="Arial"/>
          <w:kern w:val="0"/>
          <w:sz w:val="20"/>
          <w:szCs w:val="20"/>
        </w:rPr>
        <w:t xml:space="preserve">respectively: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7621"/>
        <w:gridCol w:w="901"/>
      </w:tblGrid>
      <w:tr w:rsidR="00523BBD" w:rsidRPr="00D20086" w:rsidTr="007A5D64">
        <w:trPr>
          <w:trHeight w:val="506"/>
        </w:trPr>
        <w:tc>
          <w:tcPr>
            <w:tcW w:w="7621" w:type="dxa"/>
            <w:vAlign w:val="center"/>
          </w:tcPr>
          <w:bookmarkStart w:id="14" w:name="OLE_LINK385"/>
          <w:bookmarkStart w:id="15" w:name="OLE_LINK386"/>
          <w:p w:rsidR="00523BBD" w:rsidRPr="00D20086" w:rsidRDefault="00523BBD" w:rsidP="007A5D64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20086">
              <w:rPr>
                <w:rFonts w:ascii="Arial" w:hAnsi="Arial" w:cs="Arial"/>
                <w:position w:val="-24"/>
                <w:sz w:val="20"/>
                <w:szCs w:val="20"/>
              </w:rPr>
              <w:object w:dxaOrig="1600" w:dyaOrig="620">
                <v:shape id="_x0000_i1030" type="#_x0000_t75" style="width:72.35pt;height:26.6pt" o:ole="">
                  <v:imagedata r:id="rId15" o:title=""/>
                </v:shape>
                <o:OLEObject Type="Embed" ProgID="Equation.DSMT4" ShapeID="_x0000_i1030" DrawAspect="Content" ObjectID="_1672503113" r:id="rId16"/>
              </w:object>
            </w:r>
            <w:bookmarkEnd w:id="14"/>
            <w:bookmarkEnd w:id="15"/>
            <w:r w:rsidRPr="00D20086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901" w:type="dxa"/>
            <w:vAlign w:val="center"/>
          </w:tcPr>
          <w:p w:rsidR="00523BBD" w:rsidRPr="00D20086" w:rsidRDefault="00523BBD" w:rsidP="007A5D64">
            <w:pPr>
              <w:rPr>
                <w:rFonts w:ascii="Arial" w:hAnsi="Arial" w:cs="Arial"/>
                <w:sz w:val="20"/>
                <w:szCs w:val="20"/>
              </w:rPr>
            </w:pPr>
            <w:r w:rsidRPr="00D2008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S25</w:t>
            </w:r>
            <w:r w:rsidRPr="00D200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3BBD" w:rsidRPr="00D20086" w:rsidTr="007A5D64">
        <w:trPr>
          <w:trHeight w:val="506"/>
        </w:trPr>
        <w:tc>
          <w:tcPr>
            <w:tcW w:w="7621" w:type="dxa"/>
            <w:vAlign w:val="center"/>
          </w:tcPr>
          <w:p w:rsidR="00523BBD" w:rsidRPr="00D20086" w:rsidRDefault="00523BBD" w:rsidP="007A5D64">
            <w:pPr>
              <w:jc w:val="center"/>
              <w:rPr>
                <w:rFonts w:ascii="Arial" w:hAnsi="Arial" w:cs="Arial"/>
                <w:position w:val="-30"/>
                <w:sz w:val="20"/>
                <w:szCs w:val="20"/>
              </w:rPr>
            </w:pPr>
            <w:r w:rsidRPr="00D20086">
              <w:rPr>
                <w:rFonts w:ascii="Arial" w:hAnsi="Arial" w:cs="Arial"/>
                <w:position w:val="-24"/>
                <w:sz w:val="20"/>
                <w:szCs w:val="20"/>
              </w:rPr>
              <w:object w:dxaOrig="1640" w:dyaOrig="620">
                <v:shape id="_x0000_i1031" type="#_x0000_t75" style="width:75.4pt;height:26.6pt" o:ole="">
                  <v:imagedata r:id="rId17" o:title=""/>
                </v:shape>
                <o:OLEObject Type="Embed" ProgID="Equation.DSMT4" ShapeID="_x0000_i1031" DrawAspect="Content" ObjectID="_1672503114" r:id="rId18"/>
              </w:object>
            </w:r>
            <w:r w:rsidRPr="00D20086"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901" w:type="dxa"/>
            <w:vAlign w:val="center"/>
          </w:tcPr>
          <w:p w:rsidR="00523BBD" w:rsidRPr="00D20086" w:rsidRDefault="00523BBD" w:rsidP="007A5D64">
            <w:pPr>
              <w:rPr>
                <w:rFonts w:ascii="Arial" w:hAnsi="Arial" w:cs="Arial"/>
                <w:sz w:val="20"/>
                <w:szCs w:val="20"/>
              </w:rPr>
            </w:pPr>
            <w:r w:rsidRPr="00D20086"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S26</w:t>
            </w:r>
            <w:r w:rsidRPr="00D20086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</w:tbl>
    <w:p w:rsidR="00523BBD" w:rsidRDefault="00523BBD" w:rsidP="00523BBD">
      <w:pPr>
        <w:spacing w:beforeLines="50" w:before="156"/>
        <w:rPr>
          <w:rFonts w:ascii="Arial" w:hAnsi="Arial" w:cs="Arial"/>
          <w:color w:val="000000"/>
          <w:sz w:val="20"/>
          <w:szCs w:val="20"/>
        </w:rPr>
      </w:pPr>
      <w:r w:rsidRPr="00D20086">
        <w:rPr>
          <w:rFonts w:ascii="Arial" w:hAnsi="Arial" w:cs="Arial" w:hint="eastAsia"/>
          <w:kern w:val="0"/>
          <w:sz w:val="20"/>
          <w:szCs w:val="20"/>
        </w:rPr>
        <w:t xml:space="preserve">where </w:t>
      </w:r>
      <w:r w:rsidRPr="00D20086">
        <w:rPr>
          <w:rFonts w:ascii="Arial" w:hAnsi="Arial" w:cs="Arial"/>
          <w:kern w:val="0"/>
          <w:sz w:val="20"/>
          <w:szCs w:val="20"/>
        </w:rPr>
        <w:t>TP, FP, TN and FN are the numbers of true positives, false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Pr="00D20086">
        <w:rPr>
          <w:rFonts w:ascii="Arial" w:hAnsi="Arial" w:cs="Arial"/>
          <w:kern w:val="0"/>
          <w:sz w:val="20"/>
          <w:szCs w:val="20"/>
        </w:rPr>
        <w:t>positives, true negatives and false negatives, respectively. TPR and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Pr="00D20086">
        <w:rPr>
          <w:rFonts w:ascii="Arial" w:hAnsi="Arial" w:cs="Arial"/>
          <w:kern w:val="0"/>
          <w:sz w:val="20"/>
          <w:szCs w:val="20"/>
        </w:rPr>
        <w:t>FPR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were</w:t>
      </w:r>
      <w:r w:rsidRPr="00D20086">
        <w:rPr>
          <w:rFonts w:ascii="Arial" w:hAnsi="Arial" w:cs="Arial"/>
          <w:kern w:val="0"/>
          <w:sz w:val="20"/>
          <w:szCs w:val="20"/>
        </w:rPr>
        <w:t xml:space="preserve"> used to plot the receiver operating characteristic</w:t>
      </w:r>
      <w:r w:rsidRPr="00D20086">
        <w:rPr>
          <w:rFonts w:ascii="Arial" w:hAnsi="Arial" w:cs="Arial" w:hint="eastAsia"/>
          <w:kern w:val="0"/>
          <w:sz w:val="20"/>
          <w:szCs w:val="20"/>
        </w:rPr>
        <w:t xml:space="preserve"> </w:t>
      </w:r>
      <w:r w:rsidRPr="00D20086">
        <w:rPr>
          <w:rFonts w:ascii="Arial" w:hAnsi="Arial" w:cs="Arial"/>
          <w:kern w:val="0"/>
          <w:sz w:val="20"/>
          <w:szCs w:val="20"/>
        </w:rPr>
        <w:t>(ROC) curves</w:t>
      </w:r>
      <w:r w:rsidRPr="0093326D">
        <w:rPr>
          <w:rFonts w:ascii="Arial" w:hAnsi="Arial" w:cs="Arial"/>
          <w:color w:val="000000"/>
          <w:sz w:val="20"/>
          <w:szCs w:val="20"/>
        </w:rPr>
        <w:t>. We used the trapezoidal method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calculating the</w:t>
      </w:r>
      <w:r w:rsidRPr="00D20086">
        <w:rPr>
          <w:rFonts w:ascii="Arial" w:hAnsi="Arial" w:cs="Arial"/>
          <w:kern w:val="0"/>
          <w:sz w:val="20"/>
          <w:szCs w:val="20"/>
        </w:rPr>
        <w:t xml:space="preserve"> area under curve (AUC)</w:t>
      </w:r>
      <w:r w:rsidRPr="009332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of </w:t>
      </w:r>
      <w:r w:rsidRPr="0093326D">
        <w:rPr>
          <w:rFonts w:ascii="Arial" w:hAnsi="Arial" w:cs="Arial"/>
          <w:color w:val="000000"/>
          <w:sz w:val="20"/>
          <w:szCs w:val="20"/>
        </w:rPr>
        <w:t>ROC.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</w:p>
    <w:p w:rsidR="00523BBD" w:rsidRDefault="00523BBD" w:rsidP="00523BBD">
      <w:r>
        <w:rPr>
          <w:rFonts w:ascii="Arial" w:hAnsi="Arial" w:cs="Arial" w:hint="eastAsia"/>
          <w:kern w:val="0"/>
          <w:sz w:val="20"/>
          <w:szCs w:val="20"/>
        </w:rPr>
        <w:t>W</w:t>
      </w:r>
      <w:r>
        <w:rPr>
          <w:rFonts w:ascii="Arial" w:hAnsi="Arial" w:cs="Arial"/>
          <w:kern w:val="0"/>
          <w:sz w:val="20"/>
          <w:szCs w:val="20"/>
        </w:rPr>
        <w:t xml:space="preserve">e also used additional evaluation metrics to </w:t>
      </w:r>
      <w:r>
        <w:rPr>
          <w:rFonts w:ascii="Arial" w:hAnsi="Arial" w:cs="Arial"/>
          <w:sz w:val="20"/>
          <w:szCs w:val="20"/>
        </w:rPr>
        <w:t xml:space="preserve">evaluate the accuracy of the </w:t>
      </w:r>
      <w:r w:rsidRPr="0038675F">
        <w:rPr>
          <w:rFonts w:ascii="Arial" w:hAnsi="Arial" w:cs="Arial"/>
          <w:sz w:val="20"/>
          <w:szCs w:val="20"/>
        </w:rPr>
        <w:t>progression</w:t>
      </w:r>
      <w:r>
        <w:rPr>
          <w:rFonts w:ascii="Arial" w:hAnsi="Arial" w:cs="Arial"/>
          <w:sz w:val="20"/>
          <w:szCs w:val="20"/>
        </w:rPr>
        <w:t xml:space="preserve"> inference </w:t>
      </w:r>
      <w:r w:rsidRPr="0038675F">
        <w:rPr>
          <w:rFonts w:ascii="Arial" w:hAnsi="Arial" w:cs="Arial"/>
          <w:sz w:val="20"/>
          <w:szCs w:val="20"/>
        </w:rPr>
        <w:t xml:space="preserve">and </w:t>
      </w:r>
      <w:bookmarkStart w:id="16" w:name="OLE_LINK3"/>
      <w:bookmarkStart w:id="17" w:name="OLE_LINK4"/>
      <w:r w:rsidRPr="0038675F">
        <w:rPr>
          <w:rFonts w:ascii="Arial" w:hAnsi="Arial" w:cs="Arial"/>
          <w:sz w:val="20"/>
          <w:szCs w:val="20"/>
        </w:rPr>
        <w:t xml:space="preserve">GRN </w:t>
      </w:r>
      <w:r>
        <w:rPr>
          <w:rFonts w:ascii="Arial" w:hAnsi="Arial" w:cs="Arial"/>
          <w:sz w:val="20"/>
          <w:szCs w:val="20"/>
        </w:rPr>
        <w:t>inference</w:t>
      </w:r>
      <w:bookmarkEnd w:id="16"/>
      <w:bookmarkEnd w:id="17"/>
      <w:r>
        <w:rPr>
          <w:rFonts w:ascii="Arial" w:hAnsi="Arial" w:cs="Arial"/>
          <w:sz w:val="20"/>
          <w:szCs w:val="20"/>
        </w:rPr>
        <w:t xml:space="preserve"> against a series of variability</w:t>
      </w:r>
      <w:r w:rsidRPr="0038675F">
        <w:rPr>
          <w:rFonts w:ascii="Arial" w:hAnsi="Arial" w:cs="Arial"/>
          <w:sz w:val="20"/>
          <w:szCs w:val="20"/>
        </w:rPr>
        <w:t xml:space="preserve"> levels</w:t>
      </w:r>
      <w:r>
        <w:rPr>
          <w:rFonts w:ascii="Arial" w:hAnsi="Arial" w:cs="Arial"/>
          <w:sz w:val="20"/>
          <w:szCs w:val="20"/>
        </w:rPr>
        <w:t xml:space="preserve"> (with coefficient of variations (CVs) from 0% to 30%)</w:t>
      </w:r>
      <w:r w:rsidRPr="003867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Root of mean squared error (RMSE) and Spearman correlation were employed to evaluate the accuracy of the temporal</w:t>
      </w:r>
      <w:r w:rsidRPr="0038675F">
        <w:rPr>
          <w:rFonts w:ascii="Arial" w:hAnsi="Arial" w:cs="Arial"/>
          <w:sz w:val="20"/>
          <w:szCs w:val="20"/>
        </w:rPr>
        <w:t xml:space="preserve"> progression</w:t>
      </w:r>
      <w:r>
        <w:rPr>
          <w:rFonts w:ascii="Arial" w:hAnsi="Arial" w:cs="Arial"/>
          <w:sz w:val="20"/>
          <w:szCs w:val="20"/>
        </w:rPr>
        <w:t xml:space="preserve"> inference; AUC, accuracy rate, positive predictive rate (PPV) and </w:t>
      </w:r>
      <w:r w:rsidRPr="002B5D37">
        <w:rPr>
          <w:rFonts w:ascii="Arial" w:hAnsi="Arial" w:cs="Arial"/>
          <w:sz w:val="20"/>
          <w:szCs w:val="20"/>
        </w:rPr>
        <w:t xml:space="preserve">Matthews </w:t>
      </w:r>
      <w:r>
        <w:rPr>
          <w:rFonts w:ascii="Arial" w:hAnsi="Arial" w:cs="Arial"/>
          <w:sz w:val="20"/>
          <w:szCs w:val="20"/>
        </w:rPr>
        <w:t>c</w:t>
      </w:r>
      <w:r w:rsidRPr="002B5D37">
        <w:rPr>
          <w:rFonts w:ascii="Arial" w:hAnsi="Arial" w:cs="Arial"/>
          <w:sz w:val="20"/>
          <w:szCs w:val="20"/>
        </w:rPr>
        <w:t xml:space="preserve">orrelation </w:t>
      </w:r>
      <w:r>
        <w:rPr>
          <w:rFonts w:ascii="Arial" w:hAnsi="Arial" w:cs="Arial"/>
          <w:sz w:val="20"/>
          <w:szCs w:val="20"/>
        </w:rPr>
        <w:t>c</w:t>
      </w:r>
      <w:r w:rsidRPr="002B5D37">
        <w:rPr>
          <w:rFonts w:ascii="Arial" w:hAnsi="Arial" w:cs="Arial"/>
          <w:sz w:val="20"/>
          <w:szCs w:val="20"/>
        </w:rPr>
        <w:t xml:space="preserve">oefficient </w:t>
      </w:r>
      <w:r>
        <w:rPr>
          <w:rFonts w:ascii="Arial" w:hAnsi="Arial" w:cs="Arial"/>
          <w:sz w:val="20"/>
          <w:szCs w:val="20"/>
        </w:rPr>
        <w:t>(MCC) were employed to evaluate the accuracy of the</w:t>
      </w:r>
      <w:r w:rsidRPr="006B1911">
        <w:rPr>
          <w:rFonts w:ascii="Arial" w:hAnsi="Arial" w:cs="Arial"/>
          <w:sz w:val="20"/>
          <w:szCs w:val="20"/>
        </w:rPr>
        <w:t xml:space="preserve"> </w:t>
      </w:r>
      <w:r w:rsidRPr="0038675F">
        <w:rPr>
          <w:rFonts w:ascii="Arial" w:hAnsi="Arial" w:cs="Arial"/>
          <w:sz w:val="20"/>
          <w:szCs w:val="20"/>
        </w:rPr>
        <w:t xml:space="preserve">GRN </w:t>
      </w:r>
      <w:r>
        <w:rPr>
          <w:rFonts w:ascii="Arial" w:hAnsi="Arial" w:cs="Arial"/>
          <w:sz w:val="20"/>
          <w:szCs w:val="20"/>
        </w:rPr>
        <w:t>inference.</w:t>
      </w:r>
      <w:bookmarkStart w:id="18" w:name="_GoBack"/>
      <w:bookmarkEnd w:id="18"/>
    </w:p>
    <w:sectPr w:rsidR="0052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D"/>
    <w:rsid w:val="00523BBD"/>
    <w:rsid w:val="00E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DD919-23C3-4005-BE48-44122549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中山大学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2021-01-18T10:43:00Z</dcterms:created>
  <dcterms:modified xsi:type="dcterms:W3CDTF">2021-01-18T10:44:00Z</dcterms:modified>
</cp:coreProperties>
</file>