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7E6C" w14:textId="77777777" w:rsidR="00B905F7" w:rsidRPr="00C21E55" w:rsidRDefault="00B905F7" w:rsidP="00B905F7">
      <w:pPr>
        <w:pStyle w:val="Legend"/>
        <w:spacing w:line="480" w:lineRule="auto"/>
        <w:rPr>
          <w:b/>
        </w:rPr>
      </w:pPr>
      <w:bookmarkStart w:id="0" w:name="_Ref338954748"/>
      <w:bookmarkStart w:id="1" w:name="_Ref342906027"/>
      <w:bookmarkStart w:id="2" w:name="_GoBack"/>
      <w:bookmarkEnd w:id="2"/>
      <w:r w:rsidRPr="00C21E55">
        <w:rPr>
          <w:b/>
        </w:rPr>
        <w:t>S</w:t>
      </w:r>
      <w:r w:rsidRPr="00C21E55">
        <w:rPr>
          <w:b/>
        </w:rPr>
        <w:fldChar w:fldCharType="begin" w:fldLock="1"/>
      </w:r>
      <w:r w:rsidRPr="00C21E55">
        <w:rPr>
          <w:b/>
        </w:rPr>
        <w:instrText xml:space="preserve"> SEQ Supplementary_Table \* ARABIC </w:instrText>
      </w:r>
      <w:r w:rsidRPr="00C21E55">
        <w:rPr>
          <w:b/>
        </w:rPr>
        <w:fldChar w:fldCharType="separate"/>
      </w:r>
      <w:r>
        <w:rPr>
          <w:b/>
          <w:noProof/>
        </w:rPr>
        <w:t>4</w:t>
      </w:r>
      <w:r w:rsidRPr="00C21E55">
        <w:rPr>
          <w:b/>
        </w:rPr>
        <w:fldChar w:fldCharType="end"/>
      </w:r>
      <w:bookmarkEnd w:id="0"/>
      <w:r>
        <w:rPr>
          <w:b/>
        </w:rPr>
        <w:t xml:space="preserve"> Table</w:t>
      </w:r>
      <w:r w:rsidRPr="00C21E55">
        <w:rPr>
          <w:b/>
        </w:rPr>
        <w:t>. Survival functions</w:t>
      </w:r>
      <w:bookmarkEnd w:id="1"/>
      <w:r w:rsidRPr="00C21E55">
        <w:rPr>
          <w:b/>
        </w:rPr>
        <w:t>.</w:t>
      </w:r>
    </w:p>
    <w:tbl>
      <w:tblPr>
        <w:tblStyle w:val="LightShading"/>
        <w:tblW w:w="13428" w:type="dxa"/>
        <w:tblLayout w:type="fixed"/>
        <w:tblLook w:val="04A0" w:firstRow="1" w:lastRow="0" w:firstColumn="1" w:lastColumn="0" w:noHBand="0" w:noVBand="1"/>
      </w:tblPr>
      <w:tblGrid>
        <w:gridCol w:w="1526"/>
        <w:gridCol w:w="1679"/>
        <w:gridCol w:w="2148"/>
        <w:gridCol w:w="1415"/>
        <w:gridCol w:w="2250"/>
        <w:gridCol w:w="2700"/>
        <w:gridCol w:w="180"/>
        <w:gridCol w:w="720"/>
        <w:gridCol w:w="810"/>
      </w:tblGrid>
      <w:tr w:rsidR="00B905F7" w:rsidRPr="009A5D3E" w14:paraId="02910472" w14:textId="77777777" w:rsidTr="008C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5A47EF4B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Model</w:t>
            </w:r>
          </w:p>
        </w:tc>
        <w:tc>
          <w:tcPr>
            <w:tcW w:w="1679" w:type="dxa"/>
            <w:shd w:val="clear" w:color="auto" w:fill="auto"/>
          </w:tcPr>
          <w:p w14:paraId="14B3E5F8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Probability density function (f(t))</w:t>
            </w:r>
          </w:p>
        </w:tc>
        <w:tc>
          <w:tcPr>
            <w:tcW w:w="2148" w:type="dxa"/>
            <w:shd w:val="clear" w:color="auto" w:fill="auto"/>
          </w:tcPr>
          <w:p w14:paraId="548A06C7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Survival function</w:t>
            </w:r>
          </w:p>
        </w:tc>
        <w:tc>
          <w:tcPr>
            <w:tcW w:w="1415" w:type="dxa"/>
            <w:shd w:val="clear" w:color="auto" w:fill="auto"/>
          </w:tcPr>
          <w:p w14:paraId="4E32D629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Parameters</w:t>
            </w:r>
          </w:p>
        </w:tc>
        <w:tc>
          <w:tcPr>
            <w:tcW w:w="2250" w:type="dxa"/>
            <w:shd w:val="clear" w:color="auto" w:fill="auto"/>
          </w:tcPr>
          <w:p w14:paraId="0F4EC2E2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With covariates</w:t>
            </w:r>
          </w:p>
        </w:tc>
        <w:tc>
          <w:tcPr>
            <w:tcW w:w="2700" w:type="dxa"/>
            <w:shd w:val="clear" w:color="auto" w:fill="auto"/>
          </w:tcPr>
          <w:p w14:paraId="5B96FF5D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Mean (95% Confidence interval: lower bound, higher bound)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ACF7384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AIC</w:t>
            </w:r>
          </w:p>
        </w:tc>
        <w:tc>
          <w:tcPr>
            <w:tcW w:w="810" w:type="dxa"/>
            <w:shd w:val="clear" w:color="auto" w:fill="auto"/>
          </w:tcPr>
          <w:p w14:paraId="138F7BE7" w14:textId="77777777" w:rsidR="00B905F7" w:rsidRPr="009A5D3E" w:rsidRDefault="00B905F7" w:rsidP="008C2B9D">
            <w:pPr>
              <w:pStyle w:val="Tabledata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ΔAIC</w:t>
            </w:r>
          </w:p>
        </w:tc>
      </w:tr>
      <w:tr w:rsidR="00B905F7" w:rsidRPr="009A5D3E" w14:paraId="0610944E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10642D62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Exponential</w:t>
            </w:r>
          </w:p>
        </w:tc>
        <w:tc>
          <w:tcPr>
            <w:tcW w:w="167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6E2DC345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 xml:space="preserve"> </w:t>
            </w:r>
            <w:r w:rsidRPr="009A5D3E">
              <w:rPr>
                <w:noProof/>
                <w:color w:val="auto"/>
                <w:position w:val="-6"/>
                <w:sz w:val="22"/>
                <w:szCs w:val="22"/>
              </w:rPr>
              <w:object w:dxaOrig="560" w:dyaOrig="340" w14:anchorId="3ACDF6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3.5pt" o:ole="">
                  <v:imagedata r:id="rId7" o:title=""/>
                </v:shape>
                <o:OLEObject Type="Embed" ProgID="Equation.DSMT4" ShapeID="_x0000_i1025" DrawAspect="Content" ObjectID="_1659948711" r:id="rId8"/>
              </w:object>
            </w:r>
            <w:r w:rsidRPr="009A5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6CA9278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4"/>
                <w:sz w:val="22"/>
                <w:szCs w:val="22"/>
              </w:rPr>
              <w:object w:dxaOrig="420" w:dyaOrig="320" w14:anchorId="0A656263">
                <v:shape id="_x0000_i1026" type="#_x0000_t75" style="width:22.5pt;height:13.5pt" o:ole="">
                  <v:imagedata r:id="rId9" o:title=""/>
                </v:shape>
                <o:OLEObject Type="Embed" ProgID="Equation.DSMT4" ShapeID="_x0000_i1026" DrawAspect="Content" ObjectID="_1659948712" r:id="rId10"/>
              </w:object>
            </w:r>
            <w:r w:rsidRPr="009A5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305E2A74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>λ</w:t>
            </w:r>
            <w:r w:rsidRPr="009A5D3E">
              <w:rPr>
                <w:sz w:val="22"/>
                <w:szCs w:val="22"/>
              </w:rPr>
              <w:t xml:space="preserve"> =rate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278F77D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λ=λ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</m:oMath>
            </m:oMathPara>
          </w:p>
          <w:p w14:paraId="45F5227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44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auto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 xml:space="preserve">f,control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auto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f,dose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288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6837DAE9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2.94 (2.86, 3.02)</w:t>
            </w:r>
          </w:p>
          <w:p w14:paraId="41D618E0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1ow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 xml:space="preserve"> -0.29(-0.49, -0.08)</w:t>
            </w:r>
          </w:p>
          <w:p w14:paraId="4D85295C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44"/>
                <w:sz w:val="22"/>
                <w:szCs w:val="22"/>
                <w:highlight w:val="yellow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high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 xml:space="preserve"> -0.63(-0.85, -0.41)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08907C0D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8626</w:t>
            </w:r>
          </w:p>
        </w:tc>
        <w:tc>
          <w:tcPr>
            <w:tcW w:w="81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29F3B91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1222</w:t>
            </w:r>
          </w:p>
        </w:tc>
      </w:tr>
      <w:tr w:rsidR="00B905F7" w:rsidRPr="009A5D3E" w14:paraId="7AAABCFB" w14:textId="77777777" w:rsidTr="008C2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</w:tcBorders>
            <w:shd w:val="clear" w:color="auto" w:fill="auto"/>
          </w:tcPr>
          <w:p w14:paraId="45162BDC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Weibull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14:paraId="7E9D613F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 xml:space="preserve"> </w:t>
            </w:r>
            <w:r w:rsidRPr="009A5D3E">
              <w:rPr>
                <w:noProof/>
                <w:color w:val="auto"/>
                <w:position w:val="-6"/>
                <w:sz w:val="22"/>
                <w:szCs w:val="22"/>
              </w:rPr>
              <w:object w:dxaOrig="1060" w:dyaOrig="380" w14:anchorId="6E7C27A2">
                <v:shape id="_x0000_i1027" type="#_x0000_t75" style="width:49.5pt;height:22.5pt" o:ole="">
                  <v:imagedata r:id="rId11" o:title=""/>
                </v:shape>
                <o:OLEObject Type="Embed" ProgID="Equation.DSMT4" ShapeID="_x0000_i1027" DrawAspect="Content" ObjectID="_1659948713" r:id="rId12"/>
              </w:object>
            </w:r>
            <w:r w:rsidRPr="009A5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</w:tcPr>
          <w:p w14:paraId="76A8B547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4"/>
                <w:sz w:val="22"/>
                <w:szCs w:val="22"/>
              </w:rPr>
              <w:object w:dxaOrig="480" w:dyaOrig="360" w14:anchorId="2C09707B">
                <v:shape id="_x0000_i1028" type="#_x0000_t75" style="width:22.5pt;height:22.5pt" o:ole="">
                  <v:imagedata r:id="rId13" o:title=""/>
                </v:shape>
                <o:OLEObject Type="Embed" ProgID="Equation.DSMT4" ShapeID="_x0000_i1028" DrawAspect="Content" ObjectID="_1659948714" r:id="rId14"/>
              </w:object>
            </w:r>
            <w:r w:rsidRPr="009A5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13F6DB0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>λ</w:t>
            </w:r>
            <w:r w:rsidRPr="009A5D3E">
              <w:rPr>
                <w:sz w:val="22"/>
                <w:szCs w:val="22"/>
              </w:rPr>
              <w:t>=rate</w:t>
            </w:r>
          </w:p>
          <w:p w14:paraId="395FCD62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v = </w:t>
            </w:r>
            <w:r w:rsidRPr="009A5D3E">
              <w:rPr>
                <w:sz w:val="22"/>
                <w:szCs w:val="22"/>
              </w:rPr>
              <w:t>shape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B56F747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λ=λ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</m:oMath>
            </m:oMathPara>
          </w:p>
          <w:p w14:paraId="42592DFE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30"/>
                <w:sz w:val="22"/>
                <w:szCs w:val="2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 xml:space="preserve">f,control 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f,dose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4642E3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ν = </w:t>
            </w:r>
            <w:r w:rsidRPr="009A5D3E">
              <w:rPr>
                <w:sz w:val="22"/>
                <w:szCs w:val="22"/>
              </w:rPr>
              <w:t>2.70 (2.57, 2.84)</w:t>
            </w:r>
          </w:p>
          <w:p w14:paraId="0C80E199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3.04 (3.01, 3.07)</w:t>
            </w:r>
          </w:p>
          <w:p w14:paraId="475B6A0C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low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--0.31(-0.38, -0.23)</w:t>
            </w:r>
          </w:p>
          <w:p w14:paraId="1900226E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30"/>
                <w:sz w:val="22"/>
                <w:szCs w:val="22"/>
                <w:highlight w:val="yellow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high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-0.49(-0.57, -0.41)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535A829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7558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6680EA55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154</w:t>
            </w:r>
          </w:p>
        </w:tc>
      </w:tr>
      <w:tr w:rsidR="00B905F7" w:rsidRPr="009A5D3E" w14:paraId="31390864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</w:tcBorders>
            <w:shd w:val="clear" w:color="auto" w:fill="auto"/>
          </w:tcPr>
          <w:p w14:paraId="0320DDED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Log-normal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14:paraId="1EEE8093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32"/>
                <w:sz w:val="22"/>
                <w:szCs w:val="22"/>
              </w:rPr>
              <w:object w:dxaOrig="1660" w:dyaOrig="820" w14:anchorId="012CF7A1">
                <v:shape id="_x0000_i1029" type="#_x0000_t75" style="width:80.4pt;height:43.5pt" o:ole="">
                  <v:imagedata r:id="rId15" o:title=""/>
                </v:shape>
                <o:OLEObject Type="Embed" ProgID="Equation.DSMT4" ShapeID="_x0000_i1029" DrawAspect="Content" ObjectID="_1659948715" r:id="rId16"/>
              </w:objec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</w:tcPr>
          <w:p w14:paraId="3EC75914" w14:textId="77777777" w:rsidR="00B905F7" w:rsidRPr="009A5D3E" w:rsidRDefault="00B905F7" w:rsidP="008C2B9D">
            <w:pPr>
              <w:pStyle w:val="TabledataLef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position w:val="-38"/>
                <w:sz w:val="22"/>
                <w:szCs w:val="22"/>
              </w:rPr>
              <w:object w:dxaOrig="2040" w:dyaOrig="900" w14:anchorId="35247FE8">
                <v:shape id="_x0000_i1030" type="#_x0000_t75" style="width:102pt;height:45pt" o:ole="">
                  <v:imagedata r:id="rId17" o:title=""/>
                </v:shape>
                <o:OLEObject Type="Embed" ProgID="Equation.DSMT4" ShapeID="_x0000_i1030" DrawAspect="Content" ObjectID="_1659948716" r:id="rId18"/>
              </w:objec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0B11E4D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μ </w:t>
            </w:r>
            <w:r w:rsidRPr="009A5D3E">
              <w:rPr>
                <w:sz w:val="22"/>
                <w:szCs w:val="22"/>
              </w:rPr>
              <w:t>= location</w:t>
            </w:r>
          </w:p>
          <w:p w14:paraId="25E40EC5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σ</w:t>
            </w:r>
            <w:r w:rsidRPr="009A5D3E">
              <w:rPr>
                <w:i/>
                <w:sz w:val="22"/>
                <w:szCs w:val="22"/>
              </w:rPr>
              <w:t xml:space="preserve"> </w:t>
            </w:r>
            <w:r w:rsidRPr="009A5D3E">
              <w:rPr>
                <w:sz w:val="22"/>
                <w:szCs w:val="22"/>
              </w:rPr>
              <w:t>=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9176825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μ=μ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</m:oMath>
            </m:oMathPara>
          </w:p>
          <w:p w14:paraId="52032AD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30"/>
                <w:sz w:val="22"/>
                <w:szCs w:val="2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μ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 xml:space="preserve">f,control 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f,dose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8F8911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A5D3E">
              <w:rPr>
                <w:color w:val="000000"/>
                <w:sz w:val="22"/>
                <w:szCs w:val="22"/>
              </w:rPr>
              <w:t>σ</w:t>
            </w:r>
            <w:r w:rsidRPr="009A5D3E">
              <w:rPr>
                <w:i/>
                <w:sz w:val="22"/>
                <w:szCs w:val="22"/>
              </w:rPr>
              <w:t xml:space="preserve"> =</w:t>
            </w:r>
            <w:r w:rsidRPr="009A5D3E">
              <w:rPr>
                <w:sz w:val="22"/>
                <w:szCs w:val="22"/>
              </w:rPr>
              <w:t>0.58(0.55, 0.60)</w:t>
            </w:r>
          </w:p>
          <w:p w14:paraId="438A40E5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2.84 (2.80, 2.89)</w:t>
            </w:r>
          </w:p>
          <w:p w14:paraId="29E8645D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low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-0.28(-0.40, -0.16)</w:t>
            </w:r>
          </w:p>
          <w:p w14:paraId="535F0F1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30"/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high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-0.87(-0.99, -0.74)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00D2ADE4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8051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2D65B0B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646</w:t>
            </w:r>
          </w:p>
        </w:tc>
      </w:tr>
      <w:tr w:rsidR="00B905F7" w:rsidRPr="009A5D3E" w14:paraId="374CDAF6" w14:textId="77777777" w:rsidTr="008C2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</w:tcBorders>
            <w:shd w:val="clear" w:color="auto" w:fill="auto"/>
          </w:tcPr>
          <w:p w14:paraId="7403B43C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Gamma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14:paraId="4D266A6E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26"/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36"/>
                <w:sz w:val="22"/>
                <w:szCs w:val="22"/>
              </w:rPr>
              <w:object w:dxaOrig="1320" w:dyaOrig="920" w14:anchorId="544BA566">
                <v:shape id="_x0000_i1031" type="#_x0000_t75" style="width:63.9pt;height:43.5pt" o:ole="">
                  <v:imagedata r:id="rId19" o:title=""/>
                </v:shape>
                <o:OLEObject Type="Embed" ProgID="Equation.DSMT4" ShapeID="_x0000_i1031" DrawAspect="Content" ObjectID="_1659948717" r:id="rId20"/>
              </w:object>
            </w:r>
            <w:r w:rsidRPr="009A5D3E">
              <w:rPr>
                <w:position w:val="-26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bottom w:val="nil"/>
            </w:tcBorders>
            <w:shd w:val="clear" w:color="auto" w:fill="auto"/>
          </w:tcPr>
          <w:p w14:paraId="55CDCD29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No closed form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3447782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>λ</w:t>
            </w:r>
            <w:r w:rsidRPr="009A5D3E">
              <w:rPr>
                <w:sz w:val="22"/>
                <w:szCs w:val="22"/>
              </w:rPr>
              <w:t>=rate</w:t>
            </w:r>
          </w:p>
          <w:p w14:paraId="04A9995C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A5D3E">
              <w:rPr>
                <w:color w:val="000000"/>
                <w:sz w:val="22"/>
                <w:szCs w:val="22"/>
              </w:rPr>
              <w:t>κ</w:t>
            </w:r>
            <w:r w:rsidRPr="009A5D3E">
              <w:rPr>
                <w:i/>
                <w:sz w:val="22"/>
                <w:szCs w:val="22"/>
              </w:rPr>
              <w:t xml:space="preserve"> = </w:t>
            </w:r>
            <w:r w:rsidRPr="009A5D3E">
              <w:rPr>
                <w:sz w:val="22"/>
                <w:szCs w:val="22"/>
              </w:rPr>
              <w:t>shape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96D1DCF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λ=λ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</m:oMath>
            </m:oMathPara>
          </w:p>
          <w:p w14:paraId="6A1D81A9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30"/>
                <w:sz w:val="22"/>
                <w:szCs w:val="22"/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auto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 xml:space="preserve">f,control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auto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2"/>
                                <w:szCs w:val="22"/>
                              </w:rPr>
                              <m:t>f,dose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042D27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κ = 4.14 (3.83, 4.48)</w:t>
            </w:r>
          </w:p>
          <w:p w14:paraId="0044F535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 xml:space="preserve"> 0.22(0.20, 0.24)</w:t>
            </w:r>
          </w:p>
          <w:p w14:paraId="707FA308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1ow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0.29(0.19, 0.39)</w:t>
            </w:r>
          </w:p>
          <w:p w14:paraId="6B9E4D43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-30"/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high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0.63(0.52, 0.74)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306E606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7776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2AB33033" w14:textId="77777777" w:rsidR="00B905F7" w:rsidRPr="009A5D3E" w:rsidRDefault="00B905F7" w:rsidP="008C2B9D">
            <w:pPr>
              <w:pStyle w:val="Tabledata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372</w:t>
            </w:r>
          </w:p>
        </w:tc>
      </w:tr>
      <w:tr w:rsidR="00B905F7" w:rsidRPr="009A5D3E" w14:paraId="2F9F2DBF" w14:textId="77777777" w:rsidTr="008C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A78DF51" w14:textId="77777777" w:rsidR="00B905F7" w:rsidRPr="009A5D3E" w:rsidRDefault="00B905F7" w:rsidP="008C2B9D">
            <w:pPr>
              <w:pStyle w:val="TabledataLeft"/>
              <w:spacing w:line="276" w:lineRule="auto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Generalized Gamma</w:t>
            </w:r>
          </w:p>
        </w:tc>
        <w:tc>
          <w:tcPr>
            <w:tcW w:w="167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A1BF900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36"/>
                <w:sz w:val="22"/>
                <w:szCs w:val="22"/>
              </w:rPr>
              <w:object w:dxaOrig="1660" w:dyaOrig="820" w14:anchorId="75150F48">
                <v:shape id="_x0000_i1032" type="#_x0000_t75" style="width:85.5pt;height:43.5pt" o:ole="">
                  <v:imagedata r:id="rId21" o:title=""/>
                </v:shape>
                <o:OLEObject Type="Embed" ProgID="Equation.DSMT4" ShapeID="_x0000_i1032" DrawAspect="Content" ObjectID="_1659948718" r:id="rId22"/>
              </w:object>
            </w:r>
          </w:p>
        </w:tc>
        <w:tc>
          <w:tcPr>
            <w:tcW w:w="21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E2C2EEC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noProof/>
                <w:color w:val="auto"/>
                <w:position w:val="-50"/>
                <w:sz w:val="22"/>
                <w:szCs w:val="22"/>
              </w:rPr>
              <w:object w:dxaOrig="2240" w:dyaOrig="1140" w14:anchorId="43F841C8">
                <v:shape id="_x0000_i1033" type="#_x0000_t75" style="width:100.5pt;height:49.5pt" o:ole="">
                  <v:imagedata r:id="rId23" o:title=""/>
                </v:shape>
                <o:OLEObject Type="Embed" ProgID="Equation.DSMT4" ShapeID="_x0000_i1033" DrawAspect="Content" ObjectID="_1659948719" r:id="rId24"/>
              </w:object>
            </w:r>
          </w:p>
        </w:tc>
        <w:tc>
          <w:tcPr>
            <w:tcW w:w="141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010D6DF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>λ</w:t>
            </w:r>
            <w:r w:rsidRPr="009A5D3E">
              <w:rPr>
                <w:sz w:val="22"/>
                <w:szCs w:val="22"/>
              </w:rPr>
              <w:t xml:space="preserve"> =rate</w:t>
            </w:r>
          </w:p>
          <w:p w14:paraId="310FF943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v </w:t>
            </w:r>
            <w:r w:rsidRPr="009A5D3E">
              <w:rPr>
                <w:sz w:val="22"/>
                <w:szCs w:val="22"/>
              </w:rPr>
              <w:t>=</w:t>
            </w:r>
            <w:r w:rsidRPr="009A5D3E">
              <w:rPr>
                <w:i/>
                <w:sz w:val="22"/>
                <w:szCs w:val="22"/>
              </w:rPr>
              <w:t xml:space="preserve"> </w:t>
            </w:r>
            <w:r w:rsidRPr="009A5D3E">
              <w:rPr>
                <w:sz w:val="22"/>
                <w:szCs w:val="22"/>
              </w:rPr>
              <w:t>shape 1</w:t>
            </w:r>
          </w:p>
          <w:p w14:paraId="4CDA476C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κ </w:t>
            </w:r>
            <w:r w:rsidRPr="009A5D3E">
              <w:rPr>
                <w:sz w:val="22"/>
                <w:szCs w:val="22"/>
              </w:rPr>
              <w:t>= shape 2</w:t>
            </w:r>
          </w:p>
        </w:tc>
        <w:tc>
          <w:tcPr>
            <w:tcW w:w="225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6CF2CA0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λ=λ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</m:oMath>
            </m:oMathPara>
          </w:p>
          <w:p w14:paraId="393D7FE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3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λ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dose</m:t>
                    </m:r>
                  </m:e>
                </m:d>
                <m:r>
                  <w:rPr>
                    <w:rFonts w:ascii="Cambria Math" w:hAnsi="Cambria Math"/>
                    <w:noProof/>
                    <w:color w:val="auto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 xml:space="preserve">f,control 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color w:val="auto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2"/>
                            <w:szCs w:val="22"/>
                          </w:rPr>
                          <m:t>f,dose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2880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760A972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κ = 0.21 (0.16, 0.26)</w:t>
            </w:r>
          </w:p>
          <w:p w14:paraId="22513CCD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t xml:space="preserve">ν = </w:t>
            </w:r>
            <w:r w:rsidRPr="009A5D3E">
              <w:rPr>
                <w:sz w:val="22"/>
                <w:szCs w:val="22"/>
              </w:rPr>
              <w:t>8.82 (7.38, 10.53)</w:t>
            </w:r>
          </w:p>
          <w:p w14:paraId="21965BC4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 xml:space="preserve"> 29.46(28.64, 30.30)</w:t>
            </w:r>
          </w:p>
          <w:p w14:paraId="204B3922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low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-0.33(-0.38, -0.28)</w:t>
            </w:r>
          </w:p>
          <w:p w14:paraId="00DB996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-30"/>
                <w:sz w:val="22"/>
                <w:szCs w:val="22"/>
              </w:rPr>
            </w:pPr>
            <w:r w:rsidRPr="009A5D3E">
              <w:rPr>
                <w:i/>
                <w:sz w:val="22"/>
                <w:szCs w:val="22"/>
              </w:rPr>
              <w:sym w:font="Symbol" w:char="F062"/>
            </w:r>
            <w:r w:rsidRPr="009A5D3E">
              <w:rPr>
                <w:i/>
                <w:sz w:val="22"/>
                <w:szCs w:val="22"/>
                <w:vertAlign w:val="subscript"/>
              </w:rPr>
              <w:t>control</w:t>
            </w:r>
            <w:r w:rsidRPr="009A5D3E">
              <w:rPr>
                <w:i/>
                <w:sz w:val="22"/>
                <w:szCs w:val="22"/>
              </w:rPr>
              <w:t>=</w:t>
            </w:r>
            <w:r w:rsidRPr="009A5D3E">
              <w:rPr>
                <w:sz w:val="22"/>
                <w:szCs w:val="22"/>
              </w:rPr>
              <w:t>-0.36(-0.42, -0.30)</w:t>
            </w:r>
          </w:p>
        </w:tc>
        <w:tc>
          <w:tcPr>
            <w:tcW w:w="72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398EC46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7404</w:t>
            </w:r>
          </w:p>
        </w:tc>
        <w:tc>
          <w:tcPr>
            <w:tcW w:w="81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CACE378" w14:textId="77777777" w:rsidR="00B905F7" w:rsidRPr="009A5D3E" w:rsidRDefault="00B905F7" w:rsidP="008C2B9D">
            <w:pPr>
              <w:pStyle w:val="TabledataLef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0</w:t>
            </w:r>
          </w:p>
        </w:tc>
      </w:tr>
    </w:tbl>
    <w:p w14:paraId="08AAC6F4" w14:textId="77777777" w:rsidR="00B905F7" w:rsidRPr="00A15174" w:rsidRDefault="00B905F7" w:rsidP="00B905F7">
      <w:pPr>
        <w:keepNext/>
        <w:spacing w:after="200" w:line="480" w:lineRule="auto"/>
      </w:pPr>
    </w:p>
    <w:p w14:paraId="0FEECE7F" w14:textId="77777777" w:rsidR="007C7C6E" w:rsidRDefault="007C7C6E"/>
    <w:sectPr w:rsidR="007C7C6E" w:rsidSect="00D535FF">
      <w:footerReference w:type="default" r:id="rId25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655F" w14:textId="77777777" w:rsidR="00CC2901" w:rsidRDefault="00CC2901">
      <w:r>
        <w:separator/>
      </w:r>
    </w:p>
  </w:endnote>
  <w:endnote w:type="continuationSeparator" w:id="0">
    <w:p w14:paraId="14A48483" w14:textId="77777777" w:rsidR="00CC2901" w:rsidRDefault="00C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D0A9" w14:textId="77777777" w:rsidR="00B15B60" w:rsidRDefault="00875000" w:rsidP="00D535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14:paraId="2315E8EC" w14:textId="77777777" w:rsidR="00B15B60" w:rsidRDefault="00CC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3220" w14:textId="77777777" w:rsidR="00CC2901" w:rsidRDefault="00CC2901">
      <w:r>
        <w:separator/>
      </w:r>
    </w:p>
  </w:footnote>
  <w:footnote w:type="continuationSeparator" w:id="0">
    <w:p w14:paraId="5F900146" w14:textId="77777777" w:rsidR="00CC2901" w:rsidRDefault="00CC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4A8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083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64E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526B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1E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50A3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92F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C60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8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86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C0E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7"/>
    <w:multiLevelType w:val="multilevel"/>
    <w:tmpl w:val="7E6459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4A71C9"/>
    <w:multiLevelType w:val="multilevel"/>
    <w:tmpl w:val="50041D4E"/>
    <w:lvl w:ilvl="0">
      <w:start w:val="5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6E65A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7084EBF"/>
    <w:multiLevelType w:val="multilevel"/>
    <w:tmpl w:val="132003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82AFA"/>
    <w:multiLevelType w:val="hybridMultilevel"/>
    <w:tmpl w:val="CD06172A"/>
    <w:lvl w:ilvl="0" w:tplc="EAC8BEE6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D0AD9"/>
    <w:multiLevelType w:val="multilevel"/>
    <w:tmpl w:val="8D5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72AEC"/>
    <w:multiLevelType w:val="hybridMultilevel"/>
    <w:tmpl w:val="C06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95862"/>
    <w:multiLevelType w:val="hybridMultilevel"/>
    <w:tmpl w:val="C44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A37D5"/>
    <w:multiLevelType w:val="hybridMultilevel"/>
    <w:tmpl w:val="4F7CD94E"/>
    <w:lvl w:ilvl="0" w:tplc="48ECEC0C">
      <w:start w:val="5"/>
      <w:numFmt w:val="no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D8C"/>
    <w:multiLevelType w:val="hybridMultilevel"/>
    <w:tmpl w:val="746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9E7A41"/>
    <w:multiLevelType w:val="hybridMultilevel"/>
    <w:tmpl w:val="C0CE3F14"/>
    <w:lvl w:ilvl="0" w:tplc="76E6F946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1E01"/>
    <w:multiLevelType w:val="hybridMultilevel"/>
    <w:tmpl w:val="CC822B72"/>
    <w:lvl w:ilvl="0" w:tplc="9E5A7F94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B24A3"/>
    <w:multiLevelType w:val="multilevel"/>
    <w:tmpl w:val="3084C8BE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2741735"/>
    <w:multiLevelType w:val="hybridMultilevel"/>
    <w:tmpl w:val="10F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26AE5"/>
    <w:multiLevelType w:val="multilevel"/>
    <w:tmpl w:val="5FD27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CE7953"/>
    <w:multiLevelType w:val="hybridMultilevel"/>
    <w:tmpl w:val="90349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47826"/>
    <w:multiLevelType w:val="hybridMultilevel"/>
    <w:tmpl w:val="4FC6D8AE"/>
    <w:lvl w:ilvl="0" w:tplc="8098B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72D4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4883307"/>
    <w:multiLevelType w:val="hybridMultilevel"/>
    <w:tmpl w:val="381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6E03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526F1"/>
    <w:multiLevelType w:val="hybridMultilevel"/>
    <w:tmpl w:val="351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7267"/>
    <w:multiLevelType w:val="hybridMultilevel"/>
    <w:tmpl w:val="6E44C498"/>
    <w:lvl w:ilvl="0" w:tplc="0C96524C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6375"/>
    <w:multiLevelType w:val="hybridMultilevel"/>
    <w:tmpl w:val="A606DA88"/>
    <w:lvl w:ilvl="0" w:tplc="B8D2F894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7A97"/>
    <w:multiLevelType w:val="hybridMultilevel"/>
    <w:tmpl w:val="722A2EB4"/>
    <w:lvl w:ilvl="0" w:tplc="9D2AB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259EF"/>
    <w:multiLevelType w:val="multilevel"/>
    <w:tmpl w:val="A606DA88"/>
    <w:lvl w:ilvl="0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8CE"/>
    <w:multiLevelType w:val="multilevel"/>
    <w:tmpl w:val="5D526D18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8C3704"/>
    <w:multiLevelType w:val="multilevel"/>
    <w:tmpl w:val="C5D4D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F76F9A"/>
    <w:multiLevelType w:val="hybridMultilevel"/>
    <w:tmpl w:val="C86C827A"/>
    <w:lvl w:ilvl="0" w:tplc="4582E2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18B"/>
    <w:multiLevelType w:val="hybridMultilevel"/>
    <w:tmpl w:val="41BC393C"/>
    <w:lvl w:ilvl="0" w:tplc="BA0297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74D"/>
    <w:multiLevelType w:val="hybridMultilevel"/>
    <w:tmpl w:val="13200342"/>
    <w:lvl w:ilvl="0" w:tplc="05EEC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24"/>
  </w:num>
  <w:num w:numId="5">
    <w:abstractNumId w:val="21"/>
  </w:num>
  <w:num w:numId="6">
    <w:abstractNumId w:val="31"/>
  </w:num>
  <w:num w:numId="7">
    <w:abstractNumId w:val="26"/>
  </w:num>
  <w:num w:numId="8">
    <w:abstractNumId w:val="34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40"/>
  </w:num>
  <w:num w:numId="23">
    <w:abstractNumId w:val="27"/>
  </w:num>
  <w:num w:numId="24">
    <w:abstractNumId w:val="39"/>
  </w:num>
  <w:num w:numId="25">
    <w:abstractNumId w:val="25"/>
  </w:num>
  <w:num w:numId="26">
    <w:abstractNumId w:val="32"/>
  </w:num>
  <w:num w:numId="27">
    <w:abstractNumId w:val="30"/>
  </w:num>
  <w:num w:numId="28">
    <w:abstractNumId w:val="23"/>
  </w:num>
  <w:num w:numId="29">
    <w:abstractNumId w:val="35"/>
  </w:num>
  <w:num w:numId="30">
    <w:abstractNumId w:val="16"/>
  </w:num>
  <w:num w:numId="31">
    <w:abstractNumId w:val="43"/>
  </w:num>
  <w:num w:numId="32">
    <w:abstractNumId w:val="15"/>
  </w:num>
  <w:num w:numId="33">
    <w:abstractNumId w:val="20"/>
  </w:num>
  <w:num w:numId="34">
    <w:abstractNumId w:val="36"/>
  </w:num>
  <w:num w:numId="35">
    <w:abstractNumId w:val="38"/>
  </w:num>
  <w:num w:numId="36">
    <w:abstractNumId w:val="37"/>
  </w:num>
  <w:num w:numId="37">
    <w:abstractNumId w:val="11"/>
  </w:num>
  <w:num w:numId="38">
    <w:abstractNumId w:val="29"/>
  </w:num>
  <w:num w:numId="39">
    <w:abstractNumId w:val="33"/>
  </w:num>
  <w:num w:numId="40">
    <w:abstractNumId w:val="14"/>
  </w:num>
  <w:num w:numId="41">
    <w:abstractNumId w:val="19"/>
  </w:num>
  <w:num w:numId="42">
    <w:abstractNumId w:val="22"/>
  </w:num>
  <w:num w:numId="43">
    <w:abstractNumId w:val="41"/>
  </w:num>
  <w:num w:numId="44">
    <w:abstractNumId w:val="17"/>
  </w:num>
  <w:num w:numId="4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7"/>
    <w:rsid w:val="00056DAB"/>
    <w:rsid w:val="003335E2"/>
    <w:rsid w:val="003D38C1"/>
    <w:rsid w:val="00400B84"/>
    <w:rsid w:val="006D54F2"/>
    <w:rsid w:val="0070703F"/>
    <w:rsid w:val="007C7C6E"/>
    <w:rsid w:val="008366CC"/>
    <w:rsid w:val="00875000"/>
    <w:rsid w:val="00945100"/>
    <w:rsid w:val="009477BD"/>
    <w:rsid w:val="00AB60CF"/>
    <w:rsid w:val="00B905F7"/>
    <w:rsid w:val="00BB3D0F"/>
    <w:rsid w:val="00CC2901"/>
    <w:rsid w:val="00DA1CAC"/>
    <w:rsid w:val="00DA6559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F72B"/>
  <w15:chartTrackingRefBased/>
  <w15:docId w15:val="{376390E1-CE56-40B2-9A3A-B12E5C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5F7"/>
    <w:pPr>
      <w:spacing w:after="0" w:line="240" w:lineRule="auto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5F7"/>
    <w:pPr>
      <w:keepNext/>
      <w:keepLines/>
      <w:spacing w:before="480"/>
      <w:outlineLvl w:val="0"/>
    </w:pPr>
    <w:rPr>
      <w:rFonts w:eastAsia="MS Gothic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F7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5F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5F7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F7"/>
    <w:rPr>
      <w:rFonts w:ascii="Times New Roman" w:eastAsia="MS Gothic" w:hAnsi="Times New Roman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5F7"/>
    <w:rPr>
      <w:rFonts w:ascii="Times New Roman" w:eastAsiaTheme="majorEastAsia" w:hAnsi="Times New Roman" w:cstheme="majorBidi"/>
      <w:b/>
      <w:bCs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5F7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05F7"/>
    <w:rPr>
      <w:rFonts w:ascii="Times New Roman" w:eastAsiaTheme="majorEastAsia" w:hAnsi="Times New Roman" w:cstheme="majorBidi"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5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5F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F7"/>
    <w:rPr>
      <w:rFonts w:ascii="Lucida Grande" w:eastAsia="MS Mincho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0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05F7"/>
  </w:style>
  <w:style w:type="character" w:customStyle="1" w:styleId="CommentTextChar">
    <w:name w:val="Comment Text Char"/>
    <w:basedOn w:val="DefaultParagraphFont"/>
    <w:link w:val="CommentText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F7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05F7"/>
    <w:pPr>
      <w:spacing w:after="200"/>
    </w:pPr>
    <w:rPr>
      <w:bCs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B905F7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B905F7"/>
    <w:rPr>
      <w:vanish/>
      <w:color w:val="FF0000"/>
    </w:rPr>
  </w:style>
  <w:style w:type="table" w:styleId="TableGrid">
    <w:name w:val="Table Grid"/>
    <w:basedOn w:val="TableNormal"/>
    <w:uiPriority w:val="39"/>
    <w:rsid w:val="00B905F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05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5F7"/>
    <w:pPr>
      <w:ind w:left="720"/>
    </w:pPr>
  </w:style>
  <w:style w:type="table" w:styleId="LightShading">
    <w:name w:val="Light Shading"/>
    <w:basedOn w:val="TableNormal"/>
    <w:uiPriority w:val="60"/>
    <w:rsid w:val="00B905F7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B905F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5F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9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05F7"/>
  </w:style>
  <w:style w:type="character" w:styleId="Hyperlink">
    <w:name w:val="Hyperlink"/>
    <w:basedOn w:val="DefaultParagraphFont"/>
    <w:uiPriority w:val="99"/>
    <w:unhideWhenUsed/>
    <w:rsid w:val="00B90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05F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05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05F7"/>
    <w:rPr>
      <w:rFonts w:ascii="Lucida Grande" w:eastAsia="MS Mincho" w:hAnsi="Lucida Grande" w:cs="Lucida Grande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905F7"/>
  </w:style>
  <w:style w:type="character" w:customStyle="1" w:styleId="apple-converted-space">
    <w:name w:val="apple-converted-space"/>
    <w:basedOn w:val="DefaultParagraphFont"/>
    <w:rsid w:val="00B905F7"/>
  </w:style>
  <w:style w:type="character" w:customStyle="1" w:styleId="gmail-apple-converted-space">
    <w:name w:val="gmail-apple-converted-space"/>
    <w:basedOn w:val="DefaultParagraphFont"/>
    <w:rsid w:val="00B905F7"/>
  </w:style>
  <w:style w:type="paragraph" w:customStyle="1" w:styleId="Figurecaption">
    <w:name w:val="Figure caption"/>
    <w:basedOn w:val="Normal"/>
    <w:qFormat/>
    <w:rsid w:val="00B905F7"/>
    <w:rPr>
      <w:szCs w:val="18"/>
    </w:rPr>
  </w:style>
  <w:style w:type="paragraph" w:customStyle="1" w:styleId="TabledataLeft">
    <w:name w:val="Table data (Left)"/>
    <w:basedOn w:val="Normal"/>
    <w:qFormat/>
    <w:rsid w:val="00B905F7"/>
    <w:rPr>
      <w:rFonts w:eastAsiaTheme="minorEastAsia"/>
      <w:bCs/>
      <w:color w:val="000000" w:themeColor="text1" w:themeShade="BF"/>
      <w:szCs w:val="18"/>
    </w:rPr>
  </w:style>
  <w:style w:type="paragraph" w:customStyle="1" w:styleId="TabledataCentered">
    <w:name w:val="Table data (Centered)"/>
    <w:basedOn w:val="Normal"/>
    <w:qFormat/>
    <w:rsid w:val="00B905F7"/>
    <w:pPr>
      <w:jc w:val="center"/>
    </w:pPr>
    <w:rPr>
      <w:rFonts w:eastAsiaTheme="minorEastAsia"/>
      <w:bCs/>
      <w:color w:val="000000" w:themeColor="text1" w:themeShade="BF"/>
      <w:szCs w:val="18"/>
    </w:rPr>
  </w:style>
  <w:style w:type="paragraph" w:customStyle="1" w:styleId="Centeredtexttitlepage">
    <w:name w:val="Centered text (title page)"/>
    <w:basedOn w:val="Figurecaption"/>
    <w:qFormat/>
    <w:rsid w:val="00B905F7"/>
    <w:p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B905F7"/>
    <w:rPr>
      <w:vertAlign w:val="superscript"/>
    </w:rPr>
  </w:style>
  <w:style w:type="paragraph" w:customStyle="1" w:styleId="TableTitle">
    <w:name w:val="Table Title"/>
    <w:basedOn w:val="Caption"/>
    <w:qFormat/>
    <w:rsid w:val="00B905F7"/>
    <w:pPr>
      <w:keepNext/>
    </w:pPr>
    <w:rPr>
      <w:sz w:val="24"/>
    </w:rPr>
  </w:style>
  <w:style w:type="paragraph" w:customStyle="1" w:styleId="Normal-tabbed">
    <w:name w:val="Normal - tabbed"/>
    <w:basedOn w:val="Normal"/>
    <w:qFormat/>
    <w:rsid w:val="00B905F7"/>
    <w:pPr>
      <w:ind w:firstLine="720"/>
    </w:pPr>
    <w:rPr>
      <w:szCs w:val="22"/>
    </w:rPr>
  </w:style>
  <w:style w:type="paragraph" w:styleId="Revision">
    <w:name w:val="Revision"/>
    <w:hidden/>
    <w:uiPriority w:val="99"/>
    <w:semiHidden/>
    <w:rsid w:val="00B905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905F7"/>
    <w:pPr>
      <w:spacing w:before="120"/>
      <w:ind w:firstLine="720"/>
      <w:contextualSpacing w:val="0"/>
    </w:pPr>
    <w:rPr>
      <w:rFonts w:eastAsia="Times New Roman"/>
    </w:rPr>
  </w:style>
  <w:style w:type="paragraph" w:customStyle="1" w:styleId="Head">
    <w:name w:val="Head"/>
    <w:basedOn w:val="Normal"/>
    <w:rsid w:val="00B905F7"/>
    <w:pPr>
      <w:keepNext/>
      <w:spacing w:before="120" w:after="120"/>
      <w:contextualSpacing w:val="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AbstractSummary">
    <w:name w:val="Abstract/Summary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Refhead">
    <w:name w:val="Ref head"/>
    <w:basedOn w:val="Normal"/>
    <w:rsid w:val="00B905F7"/>
    <w:pPr>
      <w:keepNext/>
      <w:spacing w:before="120" w:after="120"/>
      <w:contextualSpacing w:val="0"/>
      <w:outlineLvl w:val="0"/>
    </w:pPr>
    <w:rPr>
      <w:rFonts w:eastAsia="Times New Roman"/>
      <w:b/>
      <w:bCs/>
      <w:kern w:val="28"/>
    </w:rPr>
  </w:style>
  <w:style w:type="paragraph" w:customStyle="1" w:styleId="Referencesandnotes">
    <w:name w:val="References and notes"/>
    <w:basedOn w:val="Normal"/>
    <w:rsid w:val="00B905F7"/>
    <w:pPr>
      <w:spacing w:before="120"/>
      <w:ind w:left="720" w:hanging="720"/>
      <w:contextualSpacing w:val="0"/>
    </w:pPr>
    <w:rPr>
      <w:rFonts w:eastAsia="Times New Roman"/>
    </w:rPr>
  </w:style>
  <w:style w:type="paragraph" w:customStyle="1" w:styleId="Acknowledgement">
    <w:name w:val="Acknowledgement"/>
    <w:basedOn w:val="Referencesandnotes"/>
    <w:rsid w:val="00B905F7"/>
  </w:style>
  <w:style w:type="paragraph" w:customStyle="1" w:styleId="Legend">
    <w:name w:val="Legend"/>
    <w:basedOn w:val="Normal"/>
    <w:rsid w:val="00B905F7"/>
    <w:pPr>
      <w:keepNext/>
      <w:contextualSpacing w:val="0"/>
      <w:outlineLvl w:val="0"/>
    </w:pPr>
    <w:rPr>
      <w:rFonts w:eastAsia="Times New Roman"/>
      <w:kern w:val="28"/>
      <w:sz w:val="20"/>
    </w:rPr>
  </w:style>
  <w:style w:type="paragraph" w:customStyle="1" w:styleId="SOMHead">
    <w:name w:val="SOMHead"/>
    <w:basedOn w:val="Normal"/>
    <w:rsid w:val="00B905F7"/>
    <w:pPr>
      <w:keepNext/>
      <w:spacing w:before="240"/>
      <w:contextualSpacing w:val="0"/>
      <w:outlineLvl w:val="0"/>
    </w:pPr>
    <w:rPr>
      <w:rFonts w:eastAsia="Times New Roman"/>
      <w:b/>
      <w:kern w:val="28"/>
    </w:rPr>
  </w:style>
  <w:style w:type="paragraph" w:customStyle="1" w:styleId="Normalafterequation">
    <w:name w:val="Normal (after equation)"/>
    <w:basedOn w:val="Normal"/>
    <w:qFormat/>
    <w:rsid w:val="00B905F7"/>
    <w:pPr>
      <w:contextualSpacing w:val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5F7"/>
    <w:rPr>
      <w:color w:val="808080"/>
      <w:shd w:val="clear" w:color="auto" w:fill="E6E6E6"/>
    </w:rPr>
  </w:style>
  <w:style w:type="character" w:customStyle="1" w:styleId="order">
    <w:name w:val="order"/>
    <w:basedOn w:val="DefaultParagraphFont"/>
    <w:rsid w:val="00B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D4E984AE.dotm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Quirine ten Bosch</dc:creator>
  <cp:keywords/>
  <dc:description/>
  <cp:lastModifiedBy>Quirine ten Bosch</cp:lastModifiedBy>
  <cp:revision>5</cp:revision>
  <cp:lastPrinted>2020-07-20T15:17:00Z</cp:lastPrinted>
  <dcterms:created xsi:type="dcterms:W3CDTF">2020-07-20T13:44:00Z</dcterms:created>
  <dcterms:modified xsi:type="dcterms:W3CDTF">2020-08-26T10:03:00Z</dcterms:modified>
</cp:coreProperties>
</file>