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D0A81" w14:textId="5C6EB7F9" w:rsidR="00337DEE" w:rsidRDefault="009B4601">
      <w:pPr>
        <w:widowControl w:val="0"/>
        <w:spacing w:before="240" w:after="240" w:line="240" w:lineRule="auto"/>
        <w:jc w:val="both"/>
        <w:rPr>
          <w:b/>
          <w:sz w:val="36"/>
          <w:szCs w:val="36"/>
        </w:rPr>
      </w:pPr>
      <w:r>
        <w:rPr>
          <w:b/>
          <w:sz w:val="36"/>
          <w:szCs w:val="36"/>
        </w:rPr>
        <w:t>Supplementary Information</w:t>
      </w:r>
    </w:p>
    <w:p w14:paraId="7AA83C2F" w14:textId="77777777" w:rsidR="003B5F9C" w:rsidRDefault="003B5F9C">
      <w:pPr>
        <w:widowControl w:val="0"/>
        <w:spacing w:before="240" w:after="240" w:line="240" w:lineRule="auto"/>
        <w:jc w:val="both"/>
        <w:rPr>
          <w:b/>
          <w:sz w:val="24"/>
          <w:szCs w:val="24"/>
        </w:rPr>
      </w:pPr>
    </w:p>
    <w:p w14:paraId="5498B5A7" w14:textId="2CD8224A" w:rsidR="00337DEE" w:rsidRDefault="009B4601">
      <w:pPr>
        <w:widowControl w:val="0"/>
        <w:spacing w:before="240" w:after="240" w:line="240" w:lineRule="auto"/>
        <w:jc w:val="both"/>
        <w:rPr>
          <w:b/>
          <w:sz w:val="28"/>
          <w:szCs w:val="28"/>
        </w:rPr>
      </w:pPr>
      <w:r>
        <w:rPr>
          <w:b/>
          <w:sz w:val="28"/>
          <w:szCs w:val="28"/>
        </w:rPr>
        <w:t>Supplementary Figures</w:t>
      </w:r>
    </w:p>
    <w:p w14:paraId="017DA9C1" w14:textId="77777777" w:rsidR="00337DEE" w:rsidRDefault="00337DEE">
      <w:pPr>
        <w:widowControl w:val="0"/>
        <w:spacing w:before="240" w:after="240" w:line="240" w:lineRule="auto"/>
        <w:jc w:val="both"/>
        <w:rPr>
          <w:b/>
          <w:sz w:val="28"/>
          <w:szCs w:val="28"/>
        </w:rPr>
      </w:pPr>
    </w:p>
    <w:p w14:paraId="4CE5FBAC" w14:textId="77777777" w:rsidR="00337DEE" w:rsidRDefault="009B4601">
      <w:pPr>
        <w:widowControl w:val="0"/>
        <w:spacing w:before="240" w:after="240" w:line="240" w:lineRule="auto"/>
        <w:jc w:val="both"/>
        <w:rPr>
          <w:b/>
        </w:rPr>
      </w:pPr>
      <w:r>
        <w:rPr>
          <w:b/>
          <w:noProof/>
        </w:rPr>
        <w:drawing>
          <wp:inline distT="114300" distB="114300" distL="114300" distR="114300" wp14:anchorId="3122DAA6" wp14:editId="212AEF25">
            <wp:extent cx="5943600" cy="19812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5943600" cy="1981200"/>
                    </a:xfrm>
                    <a:prstGeom prst="rect">
                      <a:avLst/>
                    </a:prstGeom>
                    <a:ln/>
                  </pic:spPr>
                </pic:pic>
              </a:graphicData>
            </a:graphic>
          </wp:inline>
        </w:drawing>
      </w:r>
    </w:p>
    <w:p w14:paraId="2DF4D5EB" w14:textId="40939C1D" w:rsidR="00337DEE" w:rsidRDefault="009B4601">
      <w:pPr>
        <w:widowControl w:val="0"/>
        <w:spacing w:before="240" w:after="240" w:line="240" w:lineRule="auto"/>
        <w:jc w:val="both"/>
      </w:pPr>
      <w:r>
        <w:rPr>
          <w:b/>
        </w:rPr>
        <w:t xml:space="preserve">Fig </w:t>
      </w:r>
      <w:r w:rsidR="008E1BE5">
        <w:rPr>
          <w:b/>
        </w:rPr>
        <w:t>A</w:t>
      </w:r>
      <w:r>
        <w:rPr>
          <w:b/>
        </w:rPr>
        <w:t xml:space="preserve"> | Example histology imaging tiles. </w:t>
      </w:r>
      <w:r>
        <w:t>From left to right. Examples of Adipocyte, non-adipocyte and empty tiles used for initial CNN classifier to propose Regions of Interest (ROIs) of Whole Slide Image (WSI) histology slides.</w:t>
      </w:r>
    </w:p>
    <w:p w14:paraId="24BF74E9" w14:textId="77777777" w:rsidR="00337DEE" w:rsidRDefault="00337DEE">
      <w:pPr>
        <w:widowControl w:val="0"/>
        <w:spacing w:before="240" w:after="240" w:line="240" w:lineRule="auto"/>
        <w:jc w:val="both"/>
      </w:pPr>
    </w:p>
    <w:p w14:paraId="5FF4CEA2" w14:textId="77777777" w:rsidR="00337DEE" w:rsidRDefault="00337DEE">
      <w:pPr>
        <w:widowControl w:val="0"/>
        <w:spacing w:before="240" w:after="240" w:line="240" w:lineRule="auto"/>
        <w:jc w:val="both"/>
      </w:pPr>
    </w:p>
    <w:p w14:paraId="4DA7FB56" w14:textId="77777777" w:rsidR="00337DEE" w:rsidRDefault="009B4601">
      <w:pPr>
        <w:widowControl w:val="0"/>
        <w:spacing w:before="240" w:after="240" w:line="240" w:lineRule="auto"/>
        <w:jc w:val="both"/>
      </w:pPr>
      <w:r>
        <w:br w:type="page"/>
      </w:r>
    </w:p>
    <w:p w14:paraId="4061EDF4" w14:textId="77777777" w:rsidR="00337DEE" w:rsidRDefault="00337DEE">
      <w:pPr>
        <w:widowControl w:val="0"/>
        <w:spacing w:before="240" w:after="240" w:line="240" w:lineRule="auto"/>
        <w:jc w:val="both"/>
      </w:pPr>
    </w:p>
    <w:p w14:paraId="07F29012" w14:textId="77777777" w:rsidR="00337DEE" w:rsidRDefault="009B4601">
      <w:pPr>
        <w:widowControl w:val="0"/>
        <w:spacing w:after="240" w:line="240" w:lineRule="auto"/>
        <w:jc w:val="both"/>
        <w:rPr>
          <w:b/>
        </w:rPr>
      </w:pPr>
      <w:r>
        <w:rPr>
          <w:b/>
          <w:noProof/>
        </w:rPr>
        <w:drawing>
          <wp:inline distT="114300" distB="114300" distL="114300" distR="114300" wp14:anchorId="072513F2" wp14:editId="347AD28D">
            <wp:extent cx="5943600" cy="354330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
                    <a:srcRect/>
                    <a:stretch>
                      <a:fillRect/>
                    </a:stretch>
                  </pic:blipFill>
                  <pic:spPr>
                    <a:xfrm>
                      <a:off x="0" y="0"/>
                      <a:ext cx="5943600" cy="3543300"/>
                    </a:xfrm>
                    <a:prstGeom prst="rect">
                      <a:avLst/>
                    </a:prstGeom>
                    <a:ln/>
                  </pic:spPr>
                </pic:pic>
              </a:graphicData>
            </a:graphic>
          </wp:inline>
        </w:drawing>
      </w:r>
    </w:p>
    <w:p w14:paraId="7F8DC1A0" w14:textId="16AD607B" w:rsidR="00337DEE" w:rsidRDefault="009B4601">
      <w:pPr>
        <w:widowControl w:val="0"/>
        <w:spacing w:after="240" w:line="240" w:lineRule="auto"/>
        <w:jc w:val="both"/>
      </w:pPr>
      <w:r>
        <w:rPr>
          <w:b/>
        </w:rPr>
        <w:t>Fig</w:t>
      </w:r>
      <w:r w:rsidR="008E1BE5">
        <w:rPr>
          <w:b/>
        </w:rPr>
        <w:t xml:space="preserve"> B</w:t>
      </w:r>
      <w:r>
        <w:rPr>
          <w:b/>
        </w:rPr>
        <w:t xml:space="preserve"> | Examples of classified tiles with Posterior probability </w:t>
      </w:r>
      <w:hyperlink r:id="rId6">
        <w:r>
          <w:rPr>
            <w:b/>
            <w:noProof/>
          </w:rPr>
          <w:drawing>
            <wp:inline distT="19050" distB="19050" distL="19050" distR="19050" wp14:anchorId="66EC486E" wp14:editId="11A3A2AB">
              <wp:extent cx="88900" cy="1143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88900" cy="114300"/>
                      </a:xfrm>
                      <a:prstGeom prst="rect">
                        <a:avLst/>
                      </a:prstGeom>
                      <a:ln/>
                    </pic:spPr>
                  </pic:pic>
                </a:graphicData>
              </a:graphic>
            </wp:inline>
          </w:drawing>
        </w:r>
      </w:hyperlink>
      <w:r>
        <w:rPr>
          <w:b/>
        </w:rPr>
        <w:t xml:space="preserve"> 0.9. </w:t>
      </w:r>
      <w:r>
        <w:t>Top row: ‘Adipocyte tiles’, middle: ‘not adipocyte’, bottom: ‘empty’.</w:t>
      </w:r>
    </w:p>
    <w:p w14:paraId="7C4A1513" w14:textId="77777777" w:rsidR="00337DEE" w:rsidRDefault="00337DEE">
      <w:pPr>
        <w:widowControl w:val="0"/>
        <w:spacing w:after="240" w:line="240" w:lineRule="auto"/>
        <w:jc w:val="both"/>
      </w:pPr>
    </w:p>
    <w:p w14:paraId="41178724" w14:textId="77777777" w:rsidR="00337DEE" w:rsidRDefault="00337DEE">
      <w:pPr>
        <w:widowControl w:val="0"/>
        <w:spacing w:after="240" w:line="240" w:lineRule="auto"/>
        <w:jc w:val="both"/>
      </w:pPr>
    </w:p>
    <w:p w14:paraId="3EA8590E" w14:textId="77777777" w:rsidR="00337DEE" w:rsidRDefault="00337DEE">
      <w:pPr>
        <w:widowControl w:val="0"/>
        <w:spacing w:after="240" w:line="240" w:lineRule="auto"/>
        <w:jc w:val="both"/>
      </w:pPr>
    </w:p>
    <w:p w14:paraId="5B6D33EB" w14:textId="77777777" w:rsidR="00337DEE" w:rsidRDefault="00337DEE">
      <w:pPr>
        <w:widowControl w:val="0"/>
        <w:spacing w:after="240" w:line="240" w:lineRule="auto"/>
        <w:jc w:val="both"/>
      </w:pPr>
    </w:p>
    <w:p w14:paraId="076DA34E" w14:textId="77777777" w:rsidR="00337DEE" w:rsidRDefault="009B4601">
      <w:pPr>
        <w:widowControl w:val="0"/>
        <w:spacing w:after="240" w:line="240" w:lineRule="auto"/>
        <w:jc w:val="both"/>
      </w:pPr>
      <w:r>
        <w:br w:type="page"/>
      </w:r>
    </w:p>
    <w:p w14:paraId="141E8E27" w14:textId="77777777" w:rsidR="00337DEE" w:rsidRDefault="00337DEE">
      <w:pPr>
        <w:widowControl w:val="0"/>
        <w:spacing w:after="240" w:line="240" w:lineRule="auto"/>
        <w:jc w:val="both"/>
      </w:pPr>
    </w:p>
    <w:p w14:paraId="73402516" w14:textId="77777777" w:rsidR="00337DEE" w:rsidRDefault="00337DEE">
      <w:pPr>
        <w:widowControl w:val="0"/>
        <w:spacing w:after="240" w:line="240" w:lineRule="auto"/>
        <w:jc w:val="both"/>
      </w:pPr>
    </w:p>
    <w:p w14:paraId="7EDBC2A9" w14:textId="77777777" w:rsidR="00337DEE" w:rsidRDefault="009B4601">
      <w:pPr>
        <w:widowControl w:val="0"/>
        <w:spacing w:before="240" w:after="240" w:line="240" w:lineRule="auto"/>
        <w:jc w:val="both"/>
        <w:rPr>
          <w:b/>
        </w:rPr>
      </w:pPr>
      <w:r>
        <w:rPr>
          <w:b/>
          <w:noProof/>
        </w:rPr>
        <w:drawing>
          <wp:inline distT="114300" distB="114300" distL="114300" distR="114300" wp14:anchorId="4DA43384" wp14:editId="2F592E0A">
            <wp:extent cx="5943600" cy="1930400"/>
            <wp:effectExtent l="0" t="0" r="0" b="0"/>
            <wp:docPr id="3"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8"/>
                    <a:srcRect/>
                    <a:stretch>
                      <a:fillRect/>
                    </a:stretch>
                  </pic:blipFill>
                  <pic:spPr>
                    <a:xfrm>
                      <a:off x="0" y="0"/>
                      <a:ext cx="5943600" cy="1930400"/>
                    </a:xfrm>
                    <a:prstGeom prst="rect">
                      <a:avLst/>
                    </a:prstGeom>
                    <a:ln/>
                  </pic:spPr>
                </pic:pic>
              </a:graphicData>
            </a:graphic>
          </wp:inline>
        </w:drawing>
      </w:r>
    </w:p>
    <w:p w14:paraId="4FC7CF65" w14:textId="590CFB96" w:rsidR="00337DEE" w:rsidRDefault="008E1BE5">
      <w:pPr>
        <w:widowControl w:val="0"/>
        <w:spacing w:before="240" w:after="240" w:line="240" w:lineRule="auto"/>
        <w:jc w:val="both"/>
      </w:pPr>
      <w:r>
        <w:rPr>
          <w:b/>
        </w:rPr>
        <w:t xml:space="preserve">Fig C </w:t>
      </w:r>
      <w:r w:rsidR="009B4601">
        <w:rPr>
          <w:b/>
        </w:rPr>
        <w:t>| Adipocyte U-net performance.</w:t>
      </w:r>
      <w:r w:rsidR="009B4601">
        <w:t xml:space="preserve"> From left to right: an out-of-sample adipocyte input tile. Middle: </w:t>
      </w:r>
      <w:proofErr w:type="spellStart"/>
      <w:r w:rsidR="009B4601">
        <w:t>Adiposoft</w:t>
      </w:r>
      <w:proofErr w:type="spellEnd"/>
      <w:r w:rsidR="009B4601">
        <w:t xml:space="preserve"> input mask (settings: cell diameter range 20-300</w:t>
      </w:r>
      <w:hyperlink r:id="rId9">
        <w:r w:rsidR="009B4601">
          <w:rPr>
            <w:noProof/>
          </w:rPr>
          <w:drawing>
            <wp:inline distT="19050" distB="19050" distL="19050" distR="19050" wp14:anchorId="0B47FC5E" wp14:editId="63A9679B">
              <wp:extent cx="215900" cy="1016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15900" cy="101600"/>
                      </a:xfrm>
                      <a:prstGeom prst="rect">
                        <a:avLst/>
                      </a:prstGeom>
                      <a:ln/>
                    </pic:spPr>
                  </pic:pic>
                </a:graphicData>
              </a:graphic>
            </wp:inline>
          </w:drawing>
        </w:r>
      </w:hyperlink>
      <w:r w:rsidR="009B4601">
        <w:t xml:space="preserve">). Right: Adipocyte U-net predicted mask after Otsu thresholding. The U-net prediction includes cells missed by </w:t>
      </w:r>
      <w:proofErr w:type="spellStart"/>
      <w:r w:rsidR="009B4601">
        <w:t>Adiposoft</w:t>
      </w:r>
      <w:proofErr w:type="spellEnd"/>
      <w:r w:rsidR="009B4601">
        <w:t xml:space="preserve"> - </w:t>
      </w:r>
      <w:r w:rsidR="009B4601">
        <w:rPr>
          <w:i/>
        </w:rPr>
        <w:t>highlighted in yellow</w:t>
      </w:r>
      <w:r w:rsidR="009B4601">
        <w:t xml:space="preserve">. </w:t>
      </w:r>
      <w:proofErr w:type="spellStart"/>
      <w:r w:rsidR="009B4601">
        <w:t>Adiposoft</w:t>
      </w:r>
      <w:proofErr w:type="spellEnd"/>
      <w:r w:rsidR="009B4601">
        <w:t xml:space="preserve"> counts 45 cells, U-net counts 53 - manual count is 56.</w:t>
      </w:r>
    </w:p>
    <w:p w14:paraId="3F6C353A" w14:textId="77777777" w:rsidR="00337DEE" w:rsidRDefault="00337DEE">
      <w:pPr>
        <w:widowControl w:val="0"/>
        <w:spacing w:before="240" w:after="240" w:line="240" w:lineRule="auto"/>
        <w:jc w:val="both"/>
      </w:pPr>
    </w:p>
    <w:p w14:paraId="3542BC40" w14:textId="77777777" w:rsidR="00337DEE" w:rsidRDefault="00337DEE">
      <w:pPr>
        <w:widowControl w:val="0"/>
        <w:spacing w:before="240" w:after="240" w:line="240" w:lineRule="auto"/>
        <w:jc w:val="both"/>
      </w:pPr>
    </w:p>
    <w:p w14:paraId="5C3CB658" w14:textId="77777777" w:rsidR="00337DEE" w:rsidRDefault="00337DEE">
      <w:pPr>
        <w:widowControl w:val="0"/>
        <w:spacing w:before="240" w:after="240" w:line="240" w:lineRule="auto"/>
        <w:jc w:val="both"/>
      </w:pPr>
    </w:p>
    <w:p w14:paraId="202C38AB" w14:textId="77777777" w:rsidR="00337DEE" w:rsidRDefault="00337DEE">
      <w:pPr>
        <w:widowControl w:val="0"/>
        <w:spacing w:before="240" w:after="240" w:line="240" w:lineRule="auto"/>
        <w:jc w:val="both"/>
      </w:pPr>
    </w:p>
    <w:p w14:paraId="5B86C4C5" w14:textId="77777777" w:rsidR="00337DEE" w:rsidRDefault="00337DEE">
      <w:pPr>
        <w:widowControl w:val="0"/>
        <w:spacing w:before="240" w:after="240" w:line="240" w:lineRule="auto"/>
        <w:jc w:val="both"/>
      </w:pPr>
    </w:p>
    <w:p w14:paraId="5C37B2CD" w14:textId="77777777" w:rsidR="00337DEE" w:rsidRDefault="00337DEE">
      <w:pPr>
        <w:widowControl w:val="0"/>
        <w:spacing w:before="240" w:after="240" w:line="240" w:lineRule="auto"/>
        <w:jc w:val="both"/>
      </w:pPr>
    </w:p>
    <w:p w14:paraId="5FD33844" w14:textId="77777777" w:rsidR="00337DEE" w:rsidRDefault="00337DEE">
      <w:pPr>
        <w:widowControl w:val="0"/>
        <w:spacing w:before="240" w:after="240" w:line="240" w:lineRule="auto"/>
        <w:jc w:val="both"/>
      </w:pPr>
    </w:p>
    <w:p w14:paraId="452261B8" w14:textId="77777777" w:rsidR="00337DEE" w:rsidRDefault="00337DEE">
      <w:pPr>
        <w:widowControl w:val="0"/>
        <w:spacing w:before="240" w:after="240" w:line="240" w:lineRule="auto"/>
        <w:jc w:val="both"/>
      </w:pPr>
    </w:p>
    <w:p w14:paraId="530BA197" w14:textId="77777777" w:rsidR="00337DEE" w:rsidRDefault="00337DEE">
      <w:pPr>
        <w:widowControl w:val="0"/>
        <w:spacing w:before="240" w:after="240" w:line="240" w:lineRule="auto"/>
        <w:jc w:val="both"/>
      </w:pPr>
    </w:p>
    <w:p w14:paraId="0042FE38" w14:textId="77777777" w:rsidR="00337DEE" w:rsidRDefault="00337DEE">
      <w:pPr>
        <w:widowControl w:val="0"/>
        <w:spacing w:before="240" w:after="240" w:line="240" w:lineRule="auto"/>
        <w:jc w:val="both"/>
      </w:pPr>
    </w:p>
    <w:p w14:paraId="251F4E16" w14:textId="77777777" w:rsidR="00337DEE" w:rsidRDefault="00337DEE">
      <w:pPr>
        <w:widowControl w:val="0"/>
        <w:spacing w:after="240" w:line="240" w:lineRule="auto"/>
        <w:jc w:val="both"/>
        <w:rPr>
          <w:b/>
        </w:rPr>
      </w:pPr>
    </w:p>
    <w:p w14:paraId="3D036E1F" w14:textId="77777777" w:rsidR="00337DEE" w:rsidRDefault="00337DEE">
      <w:pPr>
        <w:widowControl w:val="0"/>
        <w:spacing w:after="240" w:line="240" w:lineRule="auto"/>
        <w:jc w:val="both"/>
        <w:rPr>
          <w:b/>
        </w:rPr>
      </w:pPr>
    </w:p>
    <w:p w14:paraId="47A4721A" w14:textId="77777777" w:rsidR="00337DEE" w:rsidRDefault="00337DEE">
      <w:pPr>
        <w:widowControl w:val="0"/>
        <w:spacing w:after="240" w:line="240" w:lineRule="auto"/>
        <w:jc w:val="both"/>
        <w:rPr>
          <w:b/>
        </w:rPr>
      </w:pPr>
    </w:p>
    <w:p w14:paraId="0ABA3D4B" w14:textId="77777777" w:rsidR="00337DEE" w:rsidRDefault="00337DEE">
      <w:pPr>
        <w:widowControl w:val="0"/>
        <w:spacing w:after="240" w:line="240" w:lineRule="auto"/>
        <w:jc w:val="both"/>
        <w:rPr>
          <w:b/>
        </w:rPr>
      </w:pPr>
    </w:p>
    <w:p w14:paraId="393CCFC2" w14:textId="77777777" w:rsidR="009B4601" w:rsidRDefault="009B4601">
      <w:pPr>
        <w:widowControl w:val="0"/>
        <w:spacing w:after="240" w:line="240" w:lineRule="auto"/>
        <w:jc w:val="both"/>
        <w:rPr>
          <w:b/>
        </w:rPr>
      </w:pPr>
    </w:p>
    <w:p w14:paraId="25CE24AA" w14:textId="0512F3E5" w:rsidR="00337DEE" w:rsidRDefault="009B4601">
      <w:pPr>
        <w:widowControl w:val="0"/>
        <w:spacing w:after="240" w:line="240" w:lineRule="auto"/>
        <w:jc w:val="both"/>
      </w:pPr>
      <w:r>
        <w:rPr>
          <w:b/>
        </w:rPr>
        <w:lastRenderedPageBreak/>
        <w:t>Fig</w:t>
      </w:r>
      <w:r w:rsidR="008E1BE5">
        <w:rPr>
          <w:b/>
        </w:rPr>
        <w:t xml:space="preserve"> D</w:t>
      </w:r>
      <w:r>
        <w:rPr>
          <w:b/>
        </w:rPr>
        <w:t xml:space="preserve"> | Example test tile prediction.</w:t>
      </w:r>
      <w:r>
        <w:t xml:space="preserve"> From left to right: Input tile, Input mask, Predicted mask and Pixel wise classification results. Predictions highly accurate and recover some cells missed in input mask.</w:t>
      </w:r>
      <w:r>
        <w:rPr>
          <w:noProof/>
        </w:rPr>
        <w:drawing>
          <wp:anchor distT="114300" distB="114300" distL="114300" distR="114300" simplePos="0" relativeHeight="251658240" behindDoc="0" locked="0" layoutInCell="1" hidden="0" allowOverlap="1" wp14:anchorId="74F88DC1" wp14:editId="7E632D41">
            <wp:simplePos x="0" y="0"/>
            <wp:positionH relativeFrom="column">
              <wp:posOffset>-28574</wp:posOffset>
            </wp:positionH>
            <wp:positionV relativeFrom="paragraph">
              <wp:posOffset>257175</wp:posOffset>
            </wp:positionV>
            <wp:extent cx="6207125" cy="1862138"/>
            <wp:effectExtent l="0" t="0" r="0" b="0"/>
            <wp:wrapTopAndBottom distT="114300" distB="11430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r="25764"/>
                    <a:stretch>
                      <a:fillRect/>
                    </a:stretch>
                  </pic:blipFill>
                  <pic:spPr>
                    <a:xfrm>
                      <a:off x="0" y="0"/>
                      <a:ext cx="6207125" cy="1862138"/>
                    </a:xfrm>
                    <a:prstGeom prst="rect">
                      <a:avLst/>
                    </a:prstGeom>
                    <a:ln/>
                  </pic:spPr>
                </pic:pic>
              </a:graphicData>
            </a:graphic>
          </wp:anchor>
        </w:drawing>
      </w:r>
    </w:p>
    <w:p w14:paraId="70614CFF" w14:textId="77777777" w:rsidR="00337DEE" w:rsidRDefault="009B4601">
      <w:pPr>
        <w:widowControl w:val="0"/>
        <w:spacing w:after="240" w:line="240" w:lineRule="auto"/>
        <w:jc w:val="both"/>
      </w:pPr>
      <w:r>
        <w:br w:type="page"/>
      </w:r>
    </w:p>
    <w:p w14:paraId="5FD3B82A" w14:textId="77777777" w:rsidR="00337DEE" w:rsidRDefault="00337DEE">
      <w:pPr>
        <w:widowControl w:val="0"/>
        <w:spacing w:after="240" w:line="240" w:lineRule="auto"/>
        <w:jc w:val="both"/>
      </w:pPr>
    </w:p>
    <w:p w14:paraId="584D01E4" w14:textId="77777777" w:rsidR="00337DEE" w:rsidRDefault="009B4601">
      <w:pPr>
        <w:widowControl w:val="0"/>
        <w:spacing w:after="240" w:line="240" w:lineRule="auto"/>
        <w:jc w:val="both"/>
      </w:pPr>
      <w:r>
        <w:rPr>
          <w:noProof/>
        </w:rPr>
        <w:drawing>
          <wp:inline distT="114300" distB="114300" distL="114300" distR="114300" wp14:anchorId="3DCC1877" wp14:editId="59D35ED3">
            <wp:extent cx="5841037" cy="6805613"/>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841037" cy="6805613"/>
                    </a:xfrm>
                    <a:prstGeom prst="rect">
                      <a:avLst/>
                    </a:prstGeom>
                    <a:ln/>
                  </pic:spPr>
                </pic:pic>
              </a:graphicData>
            </a:graphic>
          </wp:inline>
        </w:drawing>
      </w:r>
    </w:p>
    <w:p w14:paraId="1D4E717B" w14:textId="47BC52F1" w:rsidR="00337DEE" w:rsidRDefault="009B4601">
      <w:pPr>
        <w:widowControl w:val="0"/>
        <w:spacing w:after="240" w:line="240" w:lineRule="auto"/>
        <w:jc w:val="both"/>
      </w:pPr>
      <w:r>
        <w:rPr>
          <w:b/>
        </w:rPr>
        <w:t xml:space="preserve">Fig </w:t>
      </w:r>
      <w:r w:rsidR="008E1BE5">
        <w:rPr>
          <w:b/>
        </w:rPr>
        <w:t>E</w:t>
      </w:r>
      <w:r>
        <w:rPr>
          <w:b/>
        </w:rPr>
        <w:t xml:space="preserve"> | </w:t>
      </w:r>
      <w:r>
        <w:t xml:space="preserve">25 random Adipocyte U-net segmentations from the </w:t>
      </w:r>
      <w:proofErr w:type="spellStart"/>
      <w:r>
        <w:t>fatDIVA</w:t>
      </w:r>
      <w:proofErr w:type="spellEnd"/>
      <w:r>
        <w:t xml:space="preserve"> cohort. All segmentations from all cohorts are publicly available through </w:t>
      </w:r>
      <w:proofErr w:type="spellStart"/>
      <w:r>
        <w:t>Github</w:t>
      </w:r>
      <w:proofErr w:type="spellEnd"/>
      <w:r>
        <w:t>.</w:t>
      </w:r>
    </w:p>
    <w:p w14:paraId="65643381" w14:textId="77777777" w:rsidR="00337DEE" w:rsidRDefault="00337DEE">
      <w:pPr>
        <w:widowControl w:val="0"/>
        <w:spacing w:after="240" w:line="240" w:lineRule="auto"/>
        <w:jc w:val="both"/>
        <w:rPr>
          <w:b/>
        </w:rPr>
      </w:pPr>
    </w:p>
    <w:p w14:paraId="5018C211" w14:textId="77777777" w:rsidR="00337DEE" w:rsidRDefault="00337DEE">
      <w:pPr>
        <w:widowControl w:val="0"/>
        <w:spacing w:after="240" w:line="240" w:lineRule="auto"/>
        <w:jc w:val="both"/>
        <w:rPr>
          <w:b/>
        </w:rPr>
      </w:pPr>
    </w:p>
    <w:p w14:paraId="60D9D6B9" w14:textId="7B6FA751" w:rsidR="00337DEE" w:rsidRDefault="009B4601">
      <w:pPr>
        <w:widowControl w:val="0"/>
        <w:spacing w:after="240" w:line="240" w:lineRule="auto"/>
        <w:jc w:val="both"/>
      </w:pPr>
      <w:r>
        <w:rPr>
          <w:b/>
          <w:noProof/>
        </w:rPr>
        <w:lastRenderedPageBreak/>
        <w:drawing>
          <wp:inline distT="114300" distB="114300" distL="114300" distR="114300" wp14:anchorId="1CE9BD70" wp14:editId="4E154408">
            <wp:extent cx="5943600" cy="37465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943600" cy="3746500"/>
                    </a:xfrm>
                    <a:prstGeom prst="rect">
                      <a:avLst/>
                    </a:prstGeom>
                    <a:ln/>
                  </pic:spPr>
                </pic:pic>
              </a:graphicData>
            </a:graphic>
          </wp:inline>
        </w:drawing>
      </w:r>
      <w:r w:rsidR="008E1BE5">
        <w:rPr>
          <w:b/>
        </w:rPr>
        <w:t>Fig F</w:t>
      </w:r>
      <w:r>
        <w:rPr>
          <w:b/>
        </w:rPr>
        <w:t xml:space="preserve"> | Adipocyte measures from an individual in each cohort that had &gt; 1000 cells measured.</w:t>
      </w:r>
      <w:r>
        <w:t xml:space="preserve"> We randomly sampled 3, 10, 100, 500 and 1,000 cells one hundred times to assess how variability in adipocyte area mean was affected. We determined 500 cells per sample was a suitable number to </w:t>
      </w:r>
      <w:proofErr w:type="spellStart"/>
      <w:r>
        <w:t>minimise</w:t>
      </w:r>
      <w:proofErr w:type="spellEnd"/>
      <w:r>
        <w:t xml:space="preserve"> variance due to subsampling cells.</w:t>
      </w:r>
    </w:p>
    <w:p w14:paraId="200F5B2A" w14:textId="77777777" w:rsidR="00337DEE" w:rsidRDefault="00337DEE">
      <w:pPr>
        <w:widowControl w:val="0"/>
        <w:spacing w:after="240" w:line="240" w:lineRule="auto"/>
        <w:jc w:val="both"/>
      </w:pPr>
    </w:p>
    <w:p w14:paraId="08291993" w14:textId="77777777" w:rsidR="00337DEE" w:rsidRDefault="00337DEE">
      <w:pPr>
        <w:widowControl w:val="0"/>
        <w:spacing w:after="240" w:line="240" w:lineRule="auto"/>
        <w:jc w:val="both"/>
      </w:pPr>
    </w:p>
    <w:p w14:paraId="2BC6E289" w14:textId="77777777" w:rsidR="00337DEE" w:rsidRDefault="00337DEE">
      <w:pPr>
        <w:widowControl w:val="0"/>
        <w:spacing w:after="240" w:line="240" w:lineRule="auto"/>
        <w:jc w:val="both"/>
      </w:pPr>
    </w:p>
    <w:p w14:paraId="07ED7C36" w14:textId="77777777" w:rsidR="00337DEE" w:rsidRDefault="00337DEE">
      <w:pPr>
        <w:widowControl w:val="0"/>
        <w:spacing w:after="240" w:line="240" w:lineRule="auto"/>
        <w:jc w:val="both"/>
      </w:pPr>
    </w:p>
    <w:p w14:paraId="3CC2E04F" w14:textId="77777777" w:rsidR="00337DEE" w:rsidRDefault="00337DEE">
      <w:pPr>
        <w:widowControl w:val="0"/>
        <w:spacing w:after="240" w:line="240" w:lineRule="auto"/>
        <w:jc w:val="both"/>
      </w:pPr>
    </w:p>
    <w:p w14:paraId="1B24157C" w14:textId="77777777" w:rsidR="00337DEE" w:rsidRDefault="00337DEE">
      <w:pPr>
        <w:widowControl w:val="0"/>
        <w:spacing w:after="240" w:line="240" w:lineRule="auto"/>
        <w:jc w:val="both"/>
      </w:pPr>
    </w:p>
    <w:p w14:paraId="52590745" w14:textId="77777777" w:rsidR="00337DEE" w:rsidRDefault="00337DEE">
      <w:pPr>
        <w:widowControl w:val="0"/>
        <w:spacing w:after="240" w:line="240" w:lineRule="auto"/>
        <w:jc w:val="both"/>
      </w:pPr>
    </w:p>
    <w:p w14:paraId="3C78B802" w14:textId="77777777" w:rsidR="00337DEE" w:rsidRDefault="00337DEE">
      <w:pPr>
        <w:widowControl w:val="0"/>
        <w:spacing w:after="240" w:line="240" w:lineRule="auto"/>
        <w:jc w:val="both"/>
      </w:pPr>
    </w:p>
    <w:p w14:paraId="7E380BAD" w14:textId="77777777" w:rsidR="00337DEE" w:rsidRDefault="00337DEE">
      <w:pPr>
        <w:widowControl w:val="0"/>
        <w:spacing w:after="240" w:line="240" w:lineRule="auto"/>
        <w:jc w:val="both"/>
        <w:rPr>
          <w:b/>
        </w:rPr>
      </w:pPr>
    </w:p>
    <w:p w14:paraId="4724DBB7" w14:textId="77777777" w:rsidR="00337DEE" w:rsidRDefault="00337DEE">
      <w:pPr>
        <w:widowControl w:val="0"/>
        <w:spacing w:after="240" w:line="240" w:lineRule="auto"/>
        <w:jc w:val="both"/>
        <w:rPr>
          <w:b/>
        </w:rPr>
      </w:pPr>
    </w:p>
    <w:p w14:paraId="6C0DDCA9" w14:textId="77777777" w:rsidR="00337DEE" w:rsidRDefault="009B4601">
      <w:pPr>
        <w:widowControl w:val="0"/>
        <w:spacing w:after="240" w:line="240" w:lineRule="auto"/>
        <w:jc w:val="both"/>
        <w:rPr>
          <w:b/>
        </w:rPr>
      </w:pPr>
      <w:r>
        <w:rPr>
          <w:noProof/>
        </w:rPr>
        <w:lastRenderedPageBreak/>
        <w:drawing>
          <wp:anchor distT="114300" distB="114300" distL="114300" distR="114300" simplePos="0" relativeHeight="251659264" behindDoc="0" locked="0" layoutInCell="1" hidden="0" allowOverlap="1" wp14:anchorId="20DFD8A6" wp14:editId="468727CE">
            <wp:simplePos x="0" y="0"/>
            <wp:positionH relativeFrom="column">
              <wp:posOffset>-741660</wp:posOffset>
            </wp:positionH>
            <wp:positionV relativeFrom="paragraph">
              <wp:posOffset>342900</wp:posOffset>
            </wp:positionV>
            <wp:extent cx="7437736" cy="5367338"/>
            <wp:effectExtent l="0" t="0" r="0" b="0"/>
            <wp:wrapSquare wrapText="bothSides" distT="114300" distB="114300" distL="114300" distR="11430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7437736" cy="5367338"/>
                    </a:xfrm>
                    <a:prstGeom prst="rect">
                      <a:avLst/>
                    </a:prstGeom>
                    <a:ln/>
                  </pic:spPr>
                </pic:pic>
              </a:graphicData>
            </a:graphic>
          </wp:anchor>
        </w:drawing>
      </w:r>
    </w:p>
    <w:p w14:paraId="6AD72FC9" w14:textId="3CB7D3C6" w:rsidR="00337DEE" w:rsidRDefault="008E1BE5">
      <w:pPr>
        <w:widowControl w:val="0"/>
        <w:spacing w:after="240" w:line="240" w:lineRule="auto"/>
        <w:jc w:val="both"/>
      </w:pPr>
      <w:r>
        <w:rPr>
          <w:b/>
        </w:rPr>
        <w:t>Fig G</w:t>
      </w:r>
      <w:r w:rsidR="009B4601">
        <w:rPr>
          <w:b/>
        </w:rPr>
        <w:t xml:space="preserve"> | Phenotype- adipocyte size random effects meta-analysis forest plots</w:t>
      </w:r>
      <w:r w:rsidR="009B4601">
        <w:t xml:space="preserve">. </w:t>
      </w:r>
      <w:r w:rsidR="009B4601">
        <w:rPr>
          <w:b/>
        </w:rPr>
        <w:t>A</w:t>
      </w:r>
      <w:r w:rsidR="009B4601">
        <w:t xml:space="preserve">) Depot specific differences in adipocyte size across cohorts. </w:t>
      </w:r>
      <w:r w:rsidR="009B4601">
        <w:rPr>
          <w:b/>
        </w:rPr>
        <w:t>B</w:t>
      </w:r>
      <w:r w:rsidR="009B4601">
        <w:t xml:space="preserve">) Sexual dimorphism in subcutaneous depot adipocyte size across cohorts. </w:t>
      </w:r>
      <w:r w:rsidR="009B4601">
        <w:rPr>
          <w:b/>
        </w:rPr>
        <w:t>C</w:t>
      </w:r>
      <w:r w:rsidR="009B4601">
        <w:t xml:space="preserve">) Sexual dimorphism in visceral depot adipocyte size across cohorts. </w:t>
      </w:r>
      <w:r w:rsidR="009B4601">
        <w:rPr>
          <w:b/>
        </w:rPr>
        <w:t>D</w:t>
      </w:r>
      <w:r w:rsidR="009B4601">
        <w:t xml:space="preserve">) Association with subcutaneous depot adipocyte size and BMI across cohorts. </w:t>
      </w:r>
      <w:r w:rsidR="009B4601">
        <w:rPr>
          <w:b/>
        </w:rPr>
        <w:t>E</w:t>
      </w:r>
      <w:r w:rsidR="009B4601">
        <w:t xml:space="preserve">) Association with visceral depot adipocyte size and BMI across cohorts. </w:t>
      </w:r>
      <w:r w:rsidR="009B4601">
        <w:rPr>
          <w:b/>
        </w:rPr>
        <w:t xml:space="preserve">F) </w:t>
      </w:r>
      <w:r w:rsidR="009B4601">
        <w:t xml:space="preserve">T2D association with subcutaneous depot adipocyte size. </w:t>
      </w:r>
      <w:r w:rsidR="009B4601">
        <w:rPr>
          <w:b/>
        </w:rPr>
        <w:t xml:space="preserve">G) </w:t>
      </w:r>
      <w:r w:rsidR="009B4601">
        <w:t xml:space="preserve">T2D association with visceral depot adipocyte size. </w:t>
      </w:r>
      <w:r w:rsidR="009B4601">
        <w:rPr>
          <w:b/>
        </w:rPr>
        <w:t>H</w:t>
      </w:r>
      <w:r w:rsidR="009B4601">
        <w:t xml:space="preserve">) Chronological age association with subcutaneous depot adipocyte size across cohorts. </w:t>
      </w:r>
      <w:r w:rsidR="009B4601">
        <w:rPr>
          <w:b/>
        </w:rPr>
        <w:t>I</w:t>
      </w:r>
      <w:r w:rsidR="009B4601">
        <w:t>) Chronological age association with visceral depot adipocyte size across cohorts.</w:t>
      </w:r>
    </w:p>
    <w:p w14:paraId="5C511D8A" w14:textId="77777777" w:rsidR="00337DEE" w:rsidRDefault="00337DEE">
      <w:pPr>
        <w:widowControl w:val="0"/>
        <w:spacing w:after="240" w:line="240" w:lineRule="auto"/>
        <w:jc w:val="both"/>
      </w:pPr>
    </w:p>
    <w:p w14:paraId="2EE72A26" w14:textId="77777777" w:rsidR="00337DEE" w:rsidRDefault="00337DEE">
      <w:pPr>
        <w:widowControl w:val="0"/>
        <w:spacing w:after="240" w:line="240" w:lineRule="auto"/>
        <w:jc w:val="both"/>
      </w:pPr>
    </w:p>
    <w:p w14:paraId="79EA2CB7" w14:textId="77777777" w:rsidR="009B4601" w:rsidRDefault="009B4601">
      <w:pPr>
        <w:widowControl w:val="0"/>
        <w:spacing w:before="240" w:after="240" w:line="240" w:lineRule="auto"/>
        <w:jc w:val="both"/>
        <w:rPr>
          <w:b/>
          <w:highlight w:val="white"/>
        </w:rPr>
      </w:pPr>
    </w:p>
    <w:p w14:paraId="7548C6AC" w14:textId="438D7A8D" w:rsidR="00337DEE" w:rsidRDefault="008E1BE5">
      <w:pPr>
        <w:widowControl w:val="0"/>
        <w:spacing w:before="240" w:after="240" w:line="240" w:lineRule="auto"/>
        <w:jc w:val="both"/>
      </w:pPr>
      <w:r>
        <w:rPr>
          <w:b/>
          <w:highlight w:val="white"/>
        </w:rPr>
        <w:lastRenderedPageBreak/>
        <w:t>Fig H</w:t>
      </w:r>
      <w:r w:rsidR="009B4601">
        <w:rPr>
          <w:b/>
          <w:highlight w:val="white"/>
        </w:rPr>
        <w:t xml:space="preserve"> |</w:t>
      </w:r>
      <w:r w:rsidR="009B4601">
        <w:rPr>
          <w:highlight w:val="white"/>
        </w:rPr>
        <w:t xml:space="preserve"> </w:t>
      </w:r>
      <w:r w:rsidR="009B4601">
        <w:rPr>
          <w:b/>
          <w:highlight w:val="white"/>
        </w:rPr>
        <w:t>Correlation between clinical phenotypes in the MOBB cohort and estimated adipocyte surface area measures.</w:t>
      </w:r>
      <w:r w:rsidR="009B4601">
        <w:rPr>
          <w:highlight w:val="white"/>
        </w:rPr>
        <w:t xml:space="preserve"> The MOBB cohort contained a large number of covariates related to obesity and cardiometabolic traits. We therefore estimated correlation between adipocyte size and these covariates. In both depots, adipocyte size correlates most strongly with BMI.</w:t>
      </w:r>
      <w:r w:rsidR="009B4601">
        <w:rPr>
          <w:noProof/>
        </w:rPr>
        <w:drawing>
          <wp:anchor distT="114300" distB="114300" distL="114300" distR="114300" simplePos="0" relativeHeight="251660288" behindDoc="0" locked="0" layoutInCell="1" hidden="0" allowOverlap="1" wp14:anchorId="4A0ED8F6" wp14:editId="36A62804">
            <wp:simplePos x="0" y="0"/>
            <wp:positionH relativeFrom="column">
              <wp:posOffset>-319087</wp:posOffset>
            </wp:positionH>
            <wp:positionV relativeFrom="paragraph">
              <wp:posOffset>114300</wp:posOffset>
            </wp:positionV>
            <wp:extent cx="6376988" cy="2922786"/>
            <wp:effectExtent l="0" t="0" r="0" b="0"/>
            <wp:wrapSquare wrapText="bothSides" distT="114300" distB="114300" distL="114300" distR="11430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6376988" cy="2922786"/>
                    </a:xfrm>
                    <a:prstGeom prst="rect">
                      <a:avLst/>
                    </a:prstGeom>
                    <a:ln/>
                  </pic:spPr>
                </pic:pic>
              </a:graphicData>
            </a:graphic>
          </wp:anchor>
        </w:drawing>
      </w:r>
    </w:p>
    <w:p w14:paraId="03FAB0A5" w14:textId="77777777" w:rsidR="00337DEE" w:rsidRDefault="00337DEE">
      <w:pPr>
        <w:widowControl w:val="0"/>
        <w:spacing w:after="240" w:line="240" w:lineRule="auto"/>
        <w:jc w:val="both"/>
      </w:pPr>
    </w:p>
    <w:p w14:paraId="43575CAB" w14:textId="77777777" w:rsidR="00337DEE" w:rsidRDefault="00337DEE">
      <w:pPr>
        <w:widowControl w:val="0"/>
        <w:spacing w:after="240" w:line="240" w:lineRule="auto"/>
        <w:jc w:val="both"/>
      </w:pPr>
    </w:p>
    <w:p w14:paraId="098AE4D7" w14:textId="77777777" w:rsidR="00337DEE" w:rsidRDefault="00337DEE">
      <w:pPr>
        <w:widowControl w:val="0"/>
        <w:spacing w:after="240" w:line="240" w:lineRule="auto"/>
        <w:jc w:val="both"/>
      </w:pPr>
    </w:p>
    <w:p w14:paraId="3079C1FB" w14:textId="77777777" w:rsidR="00337DEE" w:rsidRDefault="00337DEE">
      <w:pPr>
        <w:widowControl w:val="0"/>
        <w:spacing w:after="240" w:line="240" w:lineRule="auto"/>
        <w:jc w:val="both"/>
      </w:pPr>
    </w:p>
    <w:p w14:paraId="4A1384A9" w14:textId="77777777" w:rsidR="00337DEE" w:rsidRDefault="00337DEE">
      <w:pPr>
        <w:widowControl w:val="0"/>
        <w:spacing w:after="240" w:line="240" w:lineRule="auto"/>
        <w:jc w:val="both"/>
      </w:pPr>
    </w:p>
    <w:p w14:paraId="69D5365C" w14:textId="77777777" w:rsidR="00337DEE" w:rsidRDefault="00337DEE">
      <w:pPr>
        <w:widowControl w:val="0"/>
        <w:spacing w:after="240" w:line="240" w:lineRule="auto"/>
        <w:jc w:val="both"/>
      </w:pPr>
    </w:p>
    <w:p w14:paraId="33936800" w14:textId="77777777" w:rsidR="00337DEE" w:rsidRDefault="00337DEE">
      <w:pPr>
        <w:widowControl w:val="0"/>
        <w:spacing w:after="240" w:line="240" w:lineRule="auto"/>
        <w:jc w:val="both"/>
      </w:pPr>
    </w:p>
    <w:p w14:paraId="39099627" w14:textId="77777777" w:rsidR="00337DEE" w:rsidRDefault="00337DEE">
      <w:pPr>
        <w:widowControl w:val="0"/>
        <w:spacing w:after="240" w:line="240" w:lineRule="auto"/>
        <w:jc w:val="both"/>
      </w:pPr>
    </w:p>
    <w:p w14:paraId="3FD21AF4" w14:textId="77777777" w:rsidR="00337DEE" w:rsidRDefault="00337DEE">
      <w:pPr>
        <w:widowControl w:val="0"/>
        <w:spacing w:after="240" w:line="240" w:lineRule="auto"/>
        <w:jc w:val="both"/>
      </w:pPr>
    </w:p>
    <w:p w14:paraId="7A60D2BC" w14:textId="77777777" w:rsidR="00337DEE" w:rsidRDefault="00337DEE">
      <w:pPr>
        <w:widowControl w:val="0"/>
        <w:spacing w:after="240" w:line="240" w:lineRule="auto"/>
        <w:jc w:val="both"/>
      </w:pPr>
    </w:p>
    <w:p w14:paraId="6F817D2A" w14:textId="77777777" w:rsidR="00337DEE" w:rsidRDefault="00337DEE">
      <w:pPr>
        <w:widowControl w:val="0"/>
        <w:spacing w:after="240" w:line="240" w:lineRule="auto"/>
        <w:jc w:val="both"/>
      </w:pPr>
    </w:p>
    <w:p w14:paraId="55ABB2A9" w14:textId="77777777" w:rsidR="00337DEE" w:rsidRDefault="00337DEE">
      <w:pPr>
        <w:widowControl w:val="0"/>
        <w:spacing w:after="240" w:line="240" w:lineRule="auto"/>
        <w:jc w:val="both"/>
      </w:pPr>
    </w:p>
    <w:p w14:paraId="36F1E7B8" w14:textId="77777777" w:rsidR="00337DEE" w:rsidRDefault="00337DEE">
      <w:pPr>
        <w:widowControl w:val="0"/>
        <w:spacing w:after="240" w:line="240" w:lineRule="auto"/>
        <w:jc w:val="both"/>
      </w:pPr>
    </w:p>
    <w:p w14:paraId="79534E04" w14:textId="77777777" w:rsidR="00337DEE" w:rsidRDefault="00337DEE">
      <w:pPr>
        <w:widowControl w:val="0"/>
        <w:spacing w:after="240" w:line="240" w:lineRule="auto"/>
        <w:jc w:val="both"/>
      </w:pPr>
    </w:p>
    <w:p w14:paraId="0BE4D6EF" w14:textId="77777777" w:rsidR="00337DEE" w:rsidRDefault="009B4601">
      <w:pPr>
        <w:widowControl w:val="0"/>
        <w:spacing w:after="240" w:line="240" w:lineRule="auto"/>
        <w:jc w:val="center"/>
      </w:pPr>
      <w:r>
        <w:rPr>
          <w:noProof/>
        </w:rPr>
        <w:drawing>
          <wp:inline distT="114300" distB="114300" distL="114300" distR="114300" wp14:anchorId="1F59E258" wp14:editId="564D08FB">
            <wp:extent cx="3948113" cy="3906553"/>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948113" cy="3906553"/>
                    </a:xfrm>
                    <a:prstGeom prst="rect">
                      <a:avLst/>
                    </a:prstGeom>
                    <a:ln/>
                  </pic:spPr>
                </pic:pic>
              </a:graphicData>
            </a:graphic>
          </wp:inline>
        </w:drawing>
      </w:r>
    </w:p>
    <w:p w14:paraId="65163C74" w14:textId="2F66EACD" w:rsidR="00337DEE" w:rsidRDefault="008E1BE5">
      <w:pPr>
        <w:widowControl w:val="0"/>
        <w:spacing w:after="240" w:line="240" w:lineRule="auto"/>
      </w:pPr>
      <w:r>
        <w:rPr>
          <w:b/>
        </w:rPr>
        <w:t>Fig I</w:t>
      </w:r>
      <w:r w:rsidR="009B4601">
        <w:t xml:space="preserve"> | Example of low adipocyte area variance (top) and High variance (bottom) samples (left) and their corresponding predicted masks (right) - Both </w:t>
      </w:r>
      <w:proofErr w:type="spellStart"/>
      <w:r w:rsidR="009B4601">
        <w:t>Omentum</w:t>
      </w:r>
      <w:proofErr w:type="spellEnd"/>
      <w:r w:rsidR="009B4601">
        <w:t xml:space="preserve"> samples.</w:t>
      </w:r>
      <w:r w:rsidR="009B4601">
        <w:br w:type="page"/>
      </w:r>
    </w:p>
    <w:p w14:paraId="211A1FBC" w14:textId="5E2C608A" w:rsidR="00337DEE" w:rsidRDefault="008E1BE5">
      <w:pPr>
        <w:widowControl w:val="0"/>
        <w:spacing w:after="240" w:line="240" w:lineRule="auto"/>
        <w:jc w:val="both"/>
      </w:pPr>
      <w:r>
        <w:rPr>
          <w:b/>
        </w:rPr>
        <w:lastRenderedPageBreak/>
        <w:t>Fig J</w:t>
      </w:r>
      <w:r w:rsidR="009B4601">
        <w:rPr>
          <w:b/>
        </w:rPr>
        <w:t xml:space="preserve"> | Mean adipocyte area differences between adipose depots and sexes in GTEX and MOBB cohorts. </w:t>
      </w:r>
      <w:r w:rsidR="009B4601">
        <w:t>Females have significantly larger adipocytes in subcutaneous fat depots but smaller cells in visceral adipose tissue as compared to males.</w:t>
      </w:r>
      <w:r w:rsidR="009B4601">
        <w:rPr>
          <w:noProof/>
        </w:rPr>
        <w:drawing>
          <wp:anchor distT="114300" distB="114300" distL="114300" distR="114300" simplePos="0" relativeHeight="251661312" behindDoc="0" locked="0" layoutInCell="1" hidden="0" allowOverlap="1" wp14:anchorId="645E7C2B" wp14:editId="17CE688C">
            <wp:simplePos x="0" y="0"/>
            <wp:positionH relativeFrom="column">
              <wp:posOffset>-838199</wp:posOffset>
            </wp:positionH>
            <wp:positionV relativeFrom="paragraph">
              <wp:posOffset>133350</wp:posOffset>
            </wp:positionV>
            <wp:extent cx="7792336" cy="2147888"/>
            <wp:effectExtent l="0" t="0" r="0" b="0"/>
            <wp:wrapSquare wrapText="bothSides" distT="114300" distB="114300" distL="114300" distR="11430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7792336" cy="2147888"/>
                    </a:xfrm>
                    <a:prstGeom prst="rect">
                      <a:avLst/>
                    </a:prstGeom>
                    <a:ln/>
                  </pic:spPr>
                </pic:pic>
              </a:graphicData>
            </a:graphic>
          </wp:anchor>
        </w:drawing>
      </w:r>
    </w:p>
    <w:p w14:paraId="024030DD" w14:textId="77777777" w:rsidR="00337DEE" w:rsidRDefault="00337DEE">
      <w:pPr>
        <w:widowControl w:val="0"/>
        <w:spacing w:after="240" w:line="240" w:lineRule="auto"/>
      </w:pPr>
    </w:p>
    <w:p w14:paraId="739F3F49" w14:textId="77777777" w:rsidR="00337DEE" w:rsidRDefault="009B4601">
      <w:pPr>
        <w:widowControl w:val="0"/>
        <w:spacing w:after="240" w:line="240" w:lineRule="auto"/>
      </w:pPr>
      <w:r>
        <w:br w:type="page"/>
      </w:r>
    </w:p>
    <w:p w14:paraId="3F4BCBC8" w14:textId="77777777" w:rsidR="00337DEE" w:rsidRDefault="00337DEE">
      <w:pPr>
        <w:widowControl w:val="0"/>
        <w:spacing w:after="240" w:line="240" w:lineRule="auto"/>
      </w:pPr>
    </w:p>
    <w:p w14:paraId="59D59697" w14:textId="6F0334F7" w:rsidR="00337DEE" w:rsidRDefault="009B4601">
      <w:pPr>
        <w:widowControl w:val="0"/>
        <w:spacing w:after="240" w:line="240" w:lineRule="auto"/>
      </w:pPr>
      <w:r>
        <w:rPr>
          <w:noProof/>
        </w:rPr>
        <w:drawing>
          <wp:inline distT="114300" distB="114300" distL="114300" distR="114300" wp14:anchorId="648D7E0D" wp14:editId="2329A598">
            <wp:extent cx="5943600" cy="22606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943600" cy="2260600"/>
                    </a:xfrm>
                    <a:prstGeom prst="rect">
                      <a:avLst/>
                    </a:prstGeom>
                    <a:ln/>
                  </pic:spPr>
                </pic:pic>
              </a:graphicData>
            </a:graphic>
          </wp:inline>
        </w:drawing>
      </w:r>
      <w:r w:rsidR="008E1BE5">
        <w:rPr>
          <w:b/>
        </w:rPr>
        <w:t>Fig K</w:t>
      </w:r>
      <w:r>
        <w:rPr>
          <w:b/>
        </w:rPr>
        <w:t xml:space="preserve"> | Mean adipocyte area estimates for both subcutaneous and visceral adipose depots and their association with sample T2D status in the </w:t>
      </w:r>
      <w:proofErr w:type="spellStart"/>
      <w:r>
        <w:rPr>
          <w:b/>
        </w:rPr>
        <w:t>GTEx</w:t>
      </w:r>
      <w:proofErr w:type="spellEnd"/>
      <w:r>
        <w:rPr>
          <w:b/>
        </w:rPr>
        <w:t xml:space="preserve"> cohort.</w:t>
      </w:r>
      <w:r>
        <w:t xml:space="preserve"> Significant association with adipocyte cell size and T2D in both depots, which isn’t significant after adjusting for BMI.</w:t>
      </w:r>
    </w:p>
    <w:p w14:paraId="71FEFE03" w14:textId="77777777" w:rsidR="00337DEE" w:rsidRDefault="009B4601">
      <w:pPr>
        <w:widowControl w:val="0"/>
        <w:spacing w:after="240" w:line="240" w:lineRule="auto"/>
      </w:pPr>
      <w:r>
        <w:br w:type="page"/>
      </w:r>
    </w:p>
    <w:p w14:paraId="5E63AD27" w14:textId="77449C50" w:rsidR="00337DEE" w:rsidRDefault="009B4601">
      <w:pPr>
        <w:widowControl w:val="0"/>
        <w:spacing w:after="240" w:line="240" w:lineRule="auto"/>
      </w:pPr>
      <w:r>
        <w:rPr>
          <w:noProof/>
        </w:rPr>
        <w:lastRenderedPageBreak/>
        <w:drawing>
          <wp:inline distT="114300" distB="114300" distL="114300" distR="114300" wp14:anchorId="0FC28F24" wp14:editId="35FA002A">
            <wp:extent cx="5943600" cy="22733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5943600" cy="2273300"/>
                    </a:xfrm>
                    <a:prstGeom prst="rect">
                      <a:avLst/>
                    </a:prstGeom>
                    <a:ln/>
                  </pic:spPr>
                </pic:pic>
              </a:graphicData>
            </a:graphic>
          </wp:inline>
        </w:drawing>
      </w:r>
      <w:r w:rsidR="008E1BE5">
        <w:rPr>
          <w:b/>
        </w:rPr>
        <w:t>Fig L</w:t>
      </w:r>
      <w:r>
        <w:rPr>
          <w:b/>
        </w:rPr>
        <w:t xml:space="preserve"> | Heritability estimates in histology-based phenotypes.</w:t>
      </w:r>
      <w:r>
        <w:t xml:space="preserve"> We estimated SNP-based heritability using Genome-wide Complex Trait Analysis (GCTA) in cell size mean (mean area) and cell size variance (var. area) derived from histology from both subcutaneous and visceral tissue. Heritability estimates range widely, and larger samples will be necessary to improve the precision of these estimates.</w:t>
      </w:r>
    </w:p>
    <w:p w14:paraId="30F698F2" w14:textId="77777777" w:rsidR="00337DEE" w:rsidRDefault="009B4601">
      <w:pPr>
        <w:widowControl w:val="0"/>
        <w:spacing w:after="240" w:line="240" w:lineRule="auto"/>
      </w:pPr>
      <w:r>
        <w:br w:type="page"/>
      </w:r>
    </w:p>
    <w:p w14:paraId="7F564557" w14:textId="77777777" w:rsidR="00337DEE" w:rsidRDefault="009B4601">
      <w:pPr>
        <w:widowControl w:val="0"/>
        <w:spacing w:before="240" w:after="240" w:line="360" w:lineRule="auto"/>
        <w:jc w:val="center"/>
      </w:pPr>
      <w:r>
        <w:rPr>
          <w:noProof/>
        </w:rPr>
        <w:lastRenderedPageBreak/>
        <w:drawing>
          <wp:inline distT="114300" distB="114300" distL="114300" distR="114300" wp14:anchorId="52E52BEA" wp14:editId="3CD295FC">
            <wp:extent cx="5943600" cy="2032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943600" cy="2032000"/>
                    </a:xfrm>
                    <a:prstGeom prst="rect">
                      <a:avLst/>
                    </a:prstGeom>
                    <a:ln/>
                  </pic:spPr>
                </pic:pic>
              </a:graphicData>
            </a:graphic>
          </wp:inline>
        </w:drawing>
      </w:r>
    </w:p>
    <w:p w14:paraId="2BAF1B1C" w14:textId="41D09658" w:rsidR="00337DEE" w:rsidRDefault="008E1BE5">
      <w:pPr>
        <w:widowControl w:val="0"/>
        <w:spacing w:after="240" w:line="240" w:lineRule="auto"/>
      </w:pPr>
      <w:r>
        <w:rPr>
          <w:b/>
        </w:rPr>
        <w:t>Fig M</w:t>
      </w:r>
      <w:r w:rsidR="009B4601">
        <w:rPr>
          <w:b/>
        </w:rPr>
        <w:t xml:space="preserve"> | Associations at the </w:t>
      </w:r>
      <w:r w:rsidR="009B4601">
        <w:rPr>
          <w:b/>
          <w:i/>
        </w:rPr>
        <w:t>KLF14</w:t>
      </w:r>
      <w:r w:rsidR="009B4601">
        <w:rPr>
          <w:b/>
        </w:rPr>
        <w:t xml:space="preserve"> locus in </w:t>
      </w:r>
      <w:proofErr w:type="spellStart"/>
      <w:r w:rsidR="009B4601">
        <w:rPr>
          <w:b/>
        </w:rPr>
        <w:t>GTEx</w:t>
      </w:r>
      <w:proofErr w:type="spellEnd"/>
      <w:r w:rsidR="009B4601">
        <w:rPr>
          <w:b/>
        </w:rPr>
        <w:t xml:space="preserve"> samples. </w:t>
      </w:r>
      <w:r w:rsidR="009B4601">
        <w:t xml:space="preserve">(a) </w:t>
      </w:r>
      <w:proofErr w:type="spellStart"/>
      <w:r w:rsidR="009B4601">
        <w:t>GTEx</w:t>
      </w:r>
      <w:proofErr w:type="spellEnd"/>
      <w:r w:rsidR="009B4601">
        <w:rPr>
          <w:b/>
          <w:i/>
        </w:rPr>
        <w:t xml:space="preserve"> </w:t>
      </w:r>
      <w:r w:rsidR="009B4601">
        <w:t xml:space="preserve">female rs4731702 risk allele (C) carriers have smaller adipocytes as compared to male carriers. (b) </w:t>
      </w:r>
      <w:proofErr w:type="spellStart"/>
      <w:r w:rsidR="009B4601">
        <w:t>GTEx</w:t>
      </w:r>
      <w:proofErr w:type="spellEnd"/>
      <w:r w:rsidR="009B4601">
        <w:t xml:space="preserve"> age and BMI restricted analysis show a significant association between rs4731702 and adipocyte size.</w:t>
      </w:r>
    </w:p>
    <w:p w14:paraId="77AFC86D" w14:textId="77777777" w:rsidR="00337DEE" w:rsidRDefault="009B4601">
      <w:pPr>
        <w:widowControl w:val="0"/>
        <w:spacing w:after="240" w:line="240" w:lineRule="auto"/>
      </w:pPr>
      <w:r>
        <w:br w:type="page"/>
      </w:r>
    </w:p>
    <w:p w14:paraId="2DA8F3D6" w14:textId="77777777" w:rsidR="00337DEE" w:rsidRDefault="009B4601">
      <w:pPr>
        <w:widowControl w:val="0"/>
        <w:spacing w:after="240" w:line="240" w:lineRule="auto"/>
        <w:jc w:val="center"/>
      </w:pPr>
      <w:r>
        <w:rPr>
          <w:noProof/>
        </w:rPr>
        <w:lastRenderedPageBreak/>
        <w:drawing>
          <wp:inline distT="114300" distB="114300" distL="114300" distR="114300" wp14:anchorId="75D0C68D" wp14:editId="655DFF8A">
            <wp:extent cx="4176713" cy="3160539"/>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4176713" cy="3160539"/>
                    </a:xfrm>
                    <a:prstGeom prst="rect">
                      <a:avLst/>
                    </a:prstGeom>
                    <a:ln/>
                  </pic:spPr>
                </pic:pic>
              </a:graphicData>
            </a:graphic>
          </wp:inline>
        </w:drawing>
      </w:r>
    </w:p>
    <w:p w14:paraId="459F247F" w14:textId="3944F746" w:rsidR="00337DEE" w:rsidRDefault="008E1BE5">
      <w:pPr>
        <w:widowControl w:val="0"/>
        <w:spacing w:after="240" w:line="240" w:lineRule="auto"/>
      </w:pPr>
      <w:r>
        <w:rPr>
          <w:b/>
        </w:rPr>
        <w:t>Fig N</w:t>
      </w:r>
      <w:r w:rsidR="009B4601">
        <w:rPr>
          <w:b/>
          <w:i/>
        </w:rPr>
        <w:t xml:space="preserve"> </w:t>
      </w:r>
      <w:r w:rsidR="009B4601">
        <w:rPr>
          <w:b/>
        </w:rPr>
        <w:t xml:space="preserve">| Lack of association at the </w:t>
      </w:r>
      <w:r w:rsidR="009B4601">
        <w:rPr>
          <w:b/>
          <w:i/>
        </w:rPr>
        <w:t>KLF14</w:t>
      </w:r>
      <w:r w:rsidR="009B4601">
        <w:rPr>
          <w:b/>
        </w:rPr>
        <w:t xml:space="preserve"> locus in </w:t>
      </w:r>
      <w:r w:rsidR="009B4601">
        <w:t>ENDOX</w:t>
      </w:r>
      <w:r w:rsidR="009B4601">
        <w:rPr>
          <w:b/>
        </w:rPr>
        <w:t xml:space="preserve"> samples. (</w:t>
      </w:r>
      <w:r w:rsidR="009B4601">
        <w:t>a</w:t>
      </w:r>
      <w:r w:rsidR="009B4601">
        <w:rPr>
          <w:b/>
        </w:rPr>
        <w:t xml:space="preserve">) </w:t>
      </w:r>
      <w:r w:rsidR="009B4601">
        <w:t>female rs4731702 risk allele (C) carriers in ENDOX have no discernable difference in adipocyte size as compared to non-risk carriers (T) (CC = 19, TT = 19).</w:t>
      </w:r>
    </w:p>
    <w:p w14:paraId="0547E81E" w14:textId="77777777" w:rsidR="00337DEE" w:rsidRDefault="00337DEE">
      <w:pPr>
        <w:widowControl w:val="0"/>
        <w:spacing w:after="240" w:line="240" w:lineRule="auto"/>
      </w:pPr>
    </w:p>
    <w:p w14:paraId="32A0816B" w14:textId="77777777" w:rsidR="00337DEE" w:rsidRDefault="00337DEE">
      <w:pPr>
        <w:widowControl w:val="0"/>
        <w:spacing w:after="240" w:line="240" w:lineRule="auto"/>
      </w:pPr>
    </w:p>
    <w:p w14:paraId="5291BA64" w14:textId="77777777" w:rsidR="00337DEE" w:rsidRDefault="00337DEE">
      <w:pPr>
        <w:widowControl w:val="0"/>
        <w:spacing w:after="240" w:line="240" w:lineRule="auto"/>
      </w:pPr>
    </w:p>
    <w:p w14:paraId="3BA863F9" w14:textId="77777777" w:rsidR="00337DEE" w:rsidRDefault="00337DEE">
      <w:pPr>
        <w:widowControl w:val="0"/>
        <w:spacing w:after="240" w:line="240" w:lineRule="auto"/>
      </w:pPr>
    </w:p>
    <w:p w14:paraId="46101289" w14:textId="77777777" w:rsidR="00337DEE" w:rsidRDefault="00337DEE">
      <w:pPr>
        <w:widowControl w:val="0"/>
        <w:spacing w:after="240" w:line="240" w:lineRule="auto"/>
      </w:pPr>
    </w:p>
    <w:p w14:paraId="71A3EBC1" w14:textId="77777777" w:rsidR="00337DEE" w:rsidRDefault="00337DEE">
      <w:pPr>
        <w:widowControl w:val="0"/>
        <w:spacing w:after="240" w:line="240" w:lineRule="auto"/>
      </w:pPr>
    </w:p>
    <w:p w14:paraId="38985116" w14:textId="77777777" w:rsidR="00337DEE" w:rsidRDefault="00337DEE">
      <w:pPr>
        <w:widowControl w:val="0"/>
        <w:spacing w:after="240" w:line="240" w:lineRule="auto"/>
      </w:pPr>
    </w:p>
    <w:p w14:paraId="466B8A24" w14:textId="77777777" w:rsidR="00337DEE" w:rsidRDefault="00337DEE">
      <w:pPr>
        <w:widowControl w:val="0"/>
        <w:spacing w:after="240" w:line="240" w:lineRule="auto"/>
      </w:pPr>
    </w:p>
    <w:p w14:paraId="269F560E" w14:textId="77777777" w:rsidR="00337DEE" w:rsidRDefault="00337DEE">
      <w:pPr>
        <w:widowControl w:val="0"/>
        <w:spacing w:after="240" w:line="240" w:lineRule="auto"/>
      </w:pPr>
    </w:p>
    <w:p w14:paraId="49B51BCB" w14:textId="77777777" w:rsidR="00337DEE" w:rsidRDefault="00337DEE">
      <w:pPr>
        <w:widowControl w:val="0"/>
        <w:spacing w:after="240" w:line="240" w:lineRule="auto"/>
      </w:pPr>
    </w:p>
    <w:p w14:paraId="43F82A3D" w14:textId="77777777" w:rsidR="00337DEE" w:rsidRDefault="00337DEE">
      <w:pPr>
        <w:widowControl w:val="0"/>
        <w:spacing w:after="240" w:line="240" w:lineRule="auto"/>
      </w:pPr>
    </w:p>
    <w:p w14:paraId="22794ACA" w14:textId="77777777" w:rsidR="00337DEE" w:rsidRDefault="00337DEE">
      <w:pPr>
        <w:widowControl w:val="0"/>
        <w:spacing w:after="240" w:line="240" w:lineRule="auto"/>
      </w:pPr>
    </w:p>
    <w:p w14:paraId="2236FF0D" w14:textId="77777777" w:rsidR="00337DEE" w:rsidRDefault="00337DEE">
      <w:pPr>
        <w:widowControl w:val="0"/>
        <w:spacing w:after="240" w:line="240" w:lineRule="auto"/>
      </w:pPr>
    </w:p>
    <w:p w14:paraId="32E35D21" w14:textId="77777777" w:rsidR="00337DEE" w:rsidRDefault="00337DEE">
      <w:pPr>
        <w:widowControl w:val="0"/>
        <w:spacing w:after="240" w:line="240" w:lineRule="auto"/>
      </w:pPr>
    </w:p>
    <w:p w14:paraId="577898CC" w14:textId="77777777" w:rsidR="00337DEE" w:rsidRDefault="009B4601">
      <w:pPr>
        <w:widowControl w:val="0"/>
        <w:spacing w:after="240" w:line="240" w:lineRule="auto"/>
      </w:pPr>
      <w:r>
        <w:rPr>
          <w:noProof/>
        </w:rPr>
        <w:lastRenderedPageBreak/>
        <w:drawing>
          <wp:anchor distT="114300" distB="114300" distL="114300" distR="114300" simplePos="0" relativeHeight="251662336" behindDoc="0" locked="0" layoutInCell="1" hidden="0" allowOverlap="1" wp14:anchorId="622135C2" wp14:editId="2F185182">
            <wp:simplePos x="0" y="0"/>
            <wp:positionH relativeFrom="column">
              <wp:posOffset>114300</wp:posOffset>
            </wp:positionH>
            <wp:positionV relativeFrom="paragraph">
              <wp:posOffset>114300</wp:posOffset>
            </wp:positionV>
            <wp:extent cx="5191125" cy="4895850"/>
            <wp:effectExtent l="0" t="0" r="0" b="0"/>
            <wp:wrapSquare wrapText="bothSides" distT="114300" distB="114300" distL="114300" distR="11430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b="9187"/>
                    <a:stretch>
                      <a:fillRect/>
                    </a:stretch>
                  </pic:blipFill>
                  <pic:spPr>
                    <a:xfrm>
                      <a:off x="0" y="0"/>
                      <a:ext cx="5191125" cy="4895850"/>
                    </a:xfrm>
                    <a:prstGeom prst="rect">
                      <a:avLst/>
                    </a:prstGeom>
                    <a:ln/>
                  </pic:spPr>
                </pic:pic>
              </a:graphicData>
            </a:graphic>
          </wp:anchor>
        </w:drawing>
      </w:r>
    </w:p>
    <w:p w14:paraId="488AB3D5" w14:textId="77777777" w:rsidR="00337DEE" w:rsidRDefault="00337DEE">
      <w:pPr>
        <w:widowControl w:val="0"/>
        <w:spacing w:after="240" w:line="240" w:lineRule="auto"/>
      </w:pPr>
    </w:p>
    <w:p w14:paraId="0C21D789" w14:textId="77777777" w:rsidR="00337DEE" w:rsidRDefault="00337DEE">
      <w:pPr>
        <w:widowControl w:val="0"/>
        <w:spacing w:after="240" w:line="240" w:lineRule="auto"/>
      </w:pPr>
    </w:p>
    <w:p w14:paraId="09565E7E" w14:textId="77777777" w:rsidR="00337DEE" w:rsidRDefault="00337DEE">
      <w:pPr>
        <w:widowControl w:val="0"/>
        <w:spacing w:after="240" w:line="240" w:lineRule="auto"/>
      </w:pPr>
    </w:p>
    <w:p w14:paraId="5173B255" w14:textId="77777777" w:rsidR="00337DEE" w:rsidRDefault="00337DEE">
      <w:pPr>
        <w:widowControl w:val="0"/>
        <w:spacing w:after="240" w:line="240" w:lineRule="auto"/>
      </w:pPr>
    </w:p>
    <w:p w14:paraId="5E8D474F" w14:textId="77777777" w:rsidR="00337DEE" w:rsidRDefault="00337DEE">
      <w:pPr>
        <w:widowControl w:val="0"/>
        <w:spacing w:after="240" w:line="240" w:lineRule="auto"/>
      </w:pPr>
    </w:p>
    <w:p w14:paraId="6CF59922" w14:textId="77777777" w:rsidR="00337DEE" w:rsidRDefault="00337DEE">
      <w:pPr>
        <w:widowControl w:val="0"/>
        <w:spacing w:after="240" w:line="240" w:lineRule="auto"/>
      </w:pPr>
    </w:p>
    <w:p w14:paraId="25009BB9" w14:textId="77777777" w:rsidR="00337DEE" w:rsidRDefault="00337DEE">
      <w:pPr>
        <w:widowControl w:val="0"/>
        <w:spacing w:after="240" w:line="240" w:lineRule="auto"/>
      </w:pPr>
    </w:p>
    <w:p w14:paraId="2362D11D" w14:textId="77777777" w:rsidR="00337DEE" w:rsidRDefault="00337DEE">
      <w:pPr>
        <w:widowControl w:val="0"/>
        <w:spacing w:after="240" w:line="240" w:lineRule="auto"/>
      </w:pPr>
    </w:p>
    <w:p w14:paraId="20FD1543" w14:textId="77777777" w:rsidR="00337DEE" w:rsidRDefault="00337DEE">
      <w:pPr>
        <w:widowControl w:val="0"/>
        <w:spacing w:after="240" w:line="240" w:lineRule="auto"/>
      </w:pPr>
    </w:p>
    <w:p w14:paraId="28256902" w14:textId="77777777" w:rsidR="00337DEE" w:rsidRDefault="00337DEE">
      <w:pPr>
        <w:widowControl w:val="0"/>
        <w:spacing w:after="240" w:line="240" w:lineRule="auto"/>
      </w:pPr>
    </w:p>
    <w:p w14:paraId="3E3A3802" w14:textId="77777777" w:rsidR="00337DEE" w:rsidRDefault="00337DEE">
      <w:pPr>
        <w:widowControl w:val="0"/>
        <w:spacing w:before="240" w:after="240" w:line="240" w:lineRule="auto"/>
        <w:jc w:val="both"/>
        <w:rPr>
          <w:b/>
          <w:sz w:val="28"/>
          <w:szCs w:val="28"/>
        </w:rPr>
      </w:pPr>
    </w:p>
    <w:p w14:paraId="5A838D1A" w14:textId="77777777" w:rsidR="00337DEE" w:rsidRDefault="00337DEE">
      <w:pPr>
        <w:widowControl w:val="0"/>
        <w:spacing w:before="240" w:after="240" w:line="240" w:lineRule="auto"/>
        <w:jc w:val="both"/>
        <w:rPr>
          <w:b/>
          <w:sz w:val="28"/>
          <w:szCs w:val="28"/>
        </w:rPr>
      </w:pPr>
    </w:p>
    <w:p w14:paraId="03C8F943" w14:textId="77777777" w:rsidR="00337DEE" w:rsidRDefault="00337DEE">
      <w:pPr>
        <w:widowControl w:val="0"/>
        <w:spacing w:before="240" w:after="240" w:line="240" w:lineRule="auto"/>
        <w:jc w:val="both"/>
        <w:rPr>
          <w:b/>
          <w:sz w:val="28"/>
          <w:szCs w:val="28"/>
        </w:rPr>
      </w:pPr>
    </w:p>
    <w:p w14:paraId="500F3882" w14:textId="77777777" w:rsidR="00337DEE" w:rsidRDefault="00337DEE">
      <w:pPr>
        <w:widowControl w:val="0"/>
        <w:spacing w:before="240" w:after="240" w:line="240" w:lineRule="auto"/>
        <w:jc w:val="both"/>
        <w:rPr>
          <w:b/>
          <w:sz w:val="28"/>
          <w:szCs w:val="28"/>
        </w:rPr>
      </w:pPr>
    </w:p>
    <w:p w14:paraId="72DFCE0F" w14:textId="77777777" w:rsidR="008E1BE5" w:rsidRDefault="008E1BE5">
      <w:pPr>
        <w:widowControl w:val="0"/>
        <w:spacing w:before="240" w:after="240" w:line="240" w:lineRule="auto"/>
        <w:jc w:val="both"/>
        <w:rPr>
          <w:b/>
        </w:rPr>
      </w:pPr>
    </w:p>
    <w:p w14:paraId="72F7C3C4" w14:textId="42813BCC" w:rsidR="00337DEE" w:rsidRDefault="008E1BE5">
      <w:pPr>
        <w:widowControl w:val="0"/>
        <w:spacing w:before="240" w:after="240" w:line="240" w:lineRule="auto"/>
        <w:jc w:val="both"/>
      </w:pPr>
      <w:r>
        <w:rPr>
          <w:b/>
        </w:rPr>
        <w:t>Fig O</w:t>
      </w:r>
      <w:r w:rsidR="009B4601">
        <w:rPr>
          <w:b/>
        </w:rPr>
        <w:t xml:space="preserve">: </w:t>
      </w:r>
      <w:r w:rsidR="009B4601">
        <w:t>Comparing U-net adipocyte area estimates in the MOBB cohort to those obtained by using a collagenase digestion and then manual measurements.</w:t>
      </w:r>
    </w:p>
    <w:p w14:paraId="261E2FAA" w14:textId="77777777" w:rsidR="00337DEE" w:rsidRDefault="00337DEE">
      <w:pPr>
        <w:widowControl w:val="0"/>
        <w:spacing w:before="240" w:after="240" w:line="240" w:lineRule="auto"/>
        <w:jc w:val="both"/>
        <w:rPr>
          <w:b/>
          <w:sz w:val="28"/>
          <w:szCs w:val="28"/>
        </w:rPr>
      </w:pPr>
    </w:p>
    <w:p w14:paraId="6F17512A" w14:textId="77777777" w:rsidR="00337DEE" w:rsidRDefault="00337DEE">
      <w:pPr>
        <w:widowControl w:val="0"/>
        <w:spacing w:before="240" w:after="240" w:line="240" w:lineRule="auto"/>
        <w:jc w:val="both"/>
        <w:rPr>
          <w:b/>
          <w:sz w:val="28"/>
          <w:szCs w:val="28"/>
        </w:rPr>
      </w:pPr>
    </w:p>
    <w:p w14:paraId="6C91B23D" w14:textId="77777777" w:rsidR="00337DEE" w:rsidRDefault="00337DEE">
      <w:pPr>
        <w:widowControl w:val="0"/>
        <w:spacing w:before="240" w:after="240" w:line="240" w:lineRule="auto"/>
        <w:jc w:val="both"/>
        <w:rPr>
          <w:b/>
          <w:sz w:val="28"/>
          <w:szCs w:val="28"/>
        </w:rPr>
      </w:pPr>
    </w:p>
    <w:p w14:paraId="2C6FC346" w14:textId="77777777" w:rsidR="00337DEE" w:rsidRDefault="00337DEE">
      <w:pPr>
        <w:widowControl w:val="0"/>
        <w:spacing w:before="240" w:after="240" w:line="240" w:lineRule="auto"/>
        <w:jc w:val="both"/>
        <w:rPr>
          <w:b/>
          <w:sz w:val="28"/>
          <w:szCs w:val="28"/>
        </w:rPr>
      </w:pPr>
    </w:p>
    <w:p w14:paraId="56A32AAC" w14:textId="77777777" w:rsidR="00337DEE" w:rsidRDefault="00337DEE">
      <w:pPr>
        <w:widowControl w:val="0"/>
        <w:spacing w:before="240" w:after="240" w:line="240" w:lineRule="auto"/>
        <w:jc w:val="both"/>
        <w:rPr>
          <w:b/>
          <w:sz w:val="28"/>
          <w:szCs w:val="28"/>
        </w:rPr>
      </w:pPr>
    </w:p>
    <w:p w14:paraId="659071D7" w14:textId="77777777" w:rsidR="009B4601" w:rsidRDefault="009B4601">
      <w:pPr>
        <w:widowControl w:val="0"/>
        <w:spacing w:before="240" w:after="240" w:line="240" w:lineRule="auto"/>
        <w:jc w:val="both"/>
        <w:rPr>
          <w:b/>
          <w:sz w:val="28"/>
          <w:szCs w:val="28"/>
        </w:rPr>
      </w:pPr>
    </w:p>
    <w:p w14:paraId="5EEB790E" w14:textId="77777777" w:rsidR="009B4601" w:rsidRDefault="009B4601">
      <w:pPr>
        <w:widowControl w:val="0"/>
        <w:spacing w:before="240" w:after="240" w:line="240" w:lineRule="auto"/>
        <w:jc w:val="both"/>
        <w:rPr>
          <w:b/>
          <w:sz w:val="28"/>
          <w:szCs w:val="28"/>
        </w:rPr>
      </w:pPr>
    </w:p>
    <w:p w14:paraId="4CA8E4F2" w14:textId="716C32F3" w:rsidR="00337DEE" w:rsidRDefault="009B4601">
      <w:pPr>
        <w:widowControl w:val="0"/>
        <w:spacing w:before="240" w:after="240" w:line="240" w:lineRule="auto"/>
        <w:jc w:val="both"/>
        <w:rPr>
          <w:b/>
          <w:sz w:val="28"/>
          <w:szCs w:val="28"/>
        </w:rPr>
      </w:pPr>
      <w:r>
        <w:rPr>
          <w:b/>
          <w:sz w:val="28"/>
          <w:szCs w:val="28"/>
        </w:rPr>
        <w:lastRenderedPageBreak/>
        <w:t>Supplementary Tables</w:t>
      </w:r>
    </w:p>
    <w:p w14:paraId="0663F74D" w14:textId="77777777" w:rsidR="00337DEE" w:rsidRDefault="00337DEE">
      <w:pPr>
        <w:widowControl w:val="0"/>
        <w:spacing w:before="240" w:after="240" w:line="240" w:lineRule="auto"/>
        <w:jc w:val="both"/>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0"/>
        <w:gridCol w:w="1350"/>
        <w:gridCol w:w="2370"/>
        <w:gridCol w:w="1880"/>
        <w:gridCol w:w="1880"/>
      </w:tblGrid>
      <w:tr w:rsidR="00337DEE" w14:paraId="7946FF85" w14:textId="77777777">
        <w:tc>
          <w:tcPr>
            <w:tcW w:w="1880" w:type="dxa"/>
            <w:shd w:val="clear" w:color="auto" w:fill="auto"/>
            <w:tcMar>
              <w:top w:w="100" w:type="dxa"/>
              <w:left w:w="100" w:type="dxa"/>
              <w:bottom w:w="100" w:type="dxa"/>
              <w:right w:w="100" w:type="dxa"/>
            </w:tcMar>
            <w:vAlign w:val="center"/>
          </w:tcPr>
          <w:p w14:paraId="44130137" w14:textId="77777777" w:rsidR="00337DEE" w:rsidRDefault="009B4601">
            <w:pPr>
              <w:widowControl w:val="0"/>
              <w:spacing w:line="240" w:lineRule="auto"/>
              <w:jc w:val="center"/>
              <w:rPr>
                <w:b/>
              </w:rPr>
            </w:pPr>
            <w:r>
              <w:rPr>
                <w:b/>
              </w:rPr>
              <w:t>Depot</w:t>
            </w:r>
          </w:p>
        </w:tc>
        <w:tc>
          <w:tcPr>
            <w:tcW w:w="1350" w:type="dxa"/>
            <w:shd w:val="clear" w:color="auto" w:fill="auto"/>
            <w:tcMar>
              <w:top w:w="100" w:type="dxa"/>
              <w:left w:w="100" w:type="dxa"/>
              <w:bottom w:w="100" w:type="dxa"/>
              <w:right w:w="100" w:type="dxa"/>
            </w:tcMar>
            <w:vAlign w:val="center"/>
          </w:tcPr>
          <w:p w14:paraId="28227652" w14:textId="77777777" w:rsidR="00337DEE" w:rsidRDefault="009B4601">
            <w:pPr>
              <w:widowControl w:val="0"/>
              <w:spacing w:line="240" w:lineRule="auto"/>
              <w:jc w:val="center"/>
              <w:rPr>
                <w:b/>
              </w:rPr>
            </w:pPr>
            <w:r>
              <w:rPr>
                <w:b/>
              </w:rPr>
              <w:t>Sex</w:t>
            </w:r>
          </w:p>
        </w:tc>
        <w:tc>
          <w:tcPr>
            <w:tcW w:w="2370" w:type="dxa"/>
            <w:shd w:val="clear" w:color="auto" w:fill="auto"/>
            <w:tcMar>
              <w:top w:w="100" w:type="dxa"/>
              <w:left w:w="100" w:type="dxa"/>
              <w:bottom w:w="100" w:type="dxa"/>
              <w:right w:w="100" w:type="dxa"/>
            </w:tcMar>
            <w:vAlign w:val="center"/>
          </w:tcPr>
          <w:p w14:paraId="4D21EB60" w14:textId="77777777" w:rsidR="00337DEE" w:rsidRDefault="009B4601">
            <w:pPr>
              <w:widowControl w:val="0"/>
              <w:spacing w:line="240" w:lineRule="auto"/>
              <w:jc w:val="center"/>
              <w:rPr>
                <w:b/>
              </w:rPr>
            </w:pPr>
            <w:r>
              <w:rPr>
                <w:b/>
              </w:rPr>
              <w:t>Phenotype</w:t>
            </w:r>
          </w:p>
        </w:tc>
        <w:tc>
          <w:tcPr>
            <w:tcW w:w="1880" w:type="dxa"/>
            <w:shd w:val="clear" w:color="auto" w:fill="auto"/>
            <w:tcMar>
              <w:top w:w="100" w:type="dxa"/>
              <w:left w:w="100" w:type="dxa"/>
              <w:bottom w:w="100" w:type="dxa"/>
              <w:right w:w="100" w:type="dxa"/>
            </w:tcMar>
            <w:vAlign w:val="center"/>
          </w:tcPr>
          <w:p w14:paraId="294F9592" w14:textId="77777777" w:rsidR="00337DEE" w:rsidRDefault="009B4601">
            <w:pPr>
              <w:widowControl w:val="0"/>
              <w:spacing w:line="240" w:lineRule="auto"/>
              <w:jc w:val="center"/>
              <w:rPr>
                <w:b/>
                <w:vertAlign w:val="superscript"/>
              </w:rPr>
            </w:pPr>
            <w:r>
              <w:rPr>
                <w:b/>
              </w:rPr>
              <w:t>h</w:t>
            </w:r>
            <w:r>
              <w:rPr>
                <w:b/>
                <w:vertAlign w:val="superscript"/>
              </w:rPr>
              <w:t>2</w:t>
            </w:r>
          </w:p>
        </w:tc>
        <w:tc>
          <w:tcPr>
            <w:tcW w:w="1880" w:type="dxa"/>
            <w:shd w:val="clear" w:color="auto" w:fill="auto"/>
            <w:tcMar>
              <w:top w:w="100" w:type="dxa"/>
              <w:left w:w="100" w:type="dxa"/>
              <w:bottom w:w="100" w:type="dxa"/>
              <w:right w:w="100" w:type="dxa"/>
            </w:tcMar>
            <w:vAlign w:val="center"/>
          </w:tcPr>
          <w:p w14:paraId="6D29D7C1" w14:textId="77777777" w:rsidR="00337DEE" w:rsidRDefault="009B4601">
            <w:pPr>
              <w:widowControl w:val="0"/>
              <w:spacing w:line="240" w:lineRule="auto"/>
              <w:jc w:val="center"/>
              <w:rPr>
                <w:b/>
              </w:rPr>
            </w:pPr>
            <w:r>
              <w:rPr>
                <w:b/>
              </w:rPr>
              <w:t>SE</w:t>
            </w:r>
          </w:p>
        </w:tc>
      </w:tr>
      <w:tr w:rsidR="00337DEE" w14:paraId="6162995E" w14:textId="77777777">
        <w:trPr>
          <w:trHeight w:val="420"/>
        </w:trPr>
        <w:tc>
          <w:tcPr>
            <w:tcW w:w="1880" w:type="dxa"/>
            <w:vMerge w:val="restart"/>
            <w:shd w:val="clear" w:color="auto" w:fill="auto"/>
            <w:tcMar>
              <w:top w:w="100" w:type="dxa"/>
              <w:left w:w="100" w:type="dxa"/>
              <w:bottom w:w="100" w:type="dxa"/>
              <w:right w:w="100" w:type="dxa"/>
            </w:tcMar>
            <w:vAlign w:val="center"/>
          </w:tcPr>
          <w:p w14:paraId="33C58DA0" w14:textId="77777777" w:rsidR="00337DEE" w:rsidRDefault="009B4601">
            <w:pPr>
              <w:widowControl w:val="0"/>
              <w:spacing w:line="240" w:lineRule="auto"/>
              <w:jc w:val="center"/>
            </w:pPr>
            <w:r>
              <w:t>Subcutaneous</w:t>
            </w:r>
          </w:p>
        </w:tc>
        <w:tc>
          <w:tcPr>
            <w:tcW w:w="1350" w:type="dxa"/>
            <w:vMerge w:val="restart"/>
            <w:shd w:val="clear" w:color="auto" w:fill="auto"/>
            <w:tcMar>
              <w:top w:w="100" w:type="dxa"/>
              <w:left w:w="100" w:type="dxa"/>
              <w:bottom w:w="100" w:type="dxa"/>
              <w:right w:w="100" w:type="dxa"/>
            </w:tcMar>
            <w:vAlign w:val="center"/>
          </w:tcPr>
          <w:p w14:paraId="3CD6F3CA" w14:textId="77777777" w:rsidR="00337DEE" w:rsidRDefault="009B4601">
            <w:pPr>
              <w:widowControl w:val="0"/>
              <w:spacing w:line="240" w:lineRule="auto"/>
              <w:jc w:val="center"/>
            </w:pPr>
            <w:r>
              <w:t>Combined</w:t>
            </w:r>
          </w:p>
        </w:tc>
        <w:tc>
          <w:tcPr>
            <w:tcW w:w="2370" w:type="dxa"/>
            <w:shd w:val="clear" w:color="auto" w:fill="auto"/>
            <w:tcMar>
              <w:top w:w="100" w:type="dxa"/>
              <w:left w:w="100" w:type="dxa"/>
              <w:bottom w:w="100" w:type="dxa"/>
              <w:right w:w="100" w:type="dxa"/>
            </w:tcMar>
            <w:vAlign w:val="center"/>
          </w:tcPr>
          <w:p w14:paraId="1D535CDC" w14:textId="77777777" w:rsidR="00337DEE" w:rsidRDefault="009B4601">
            <w:pPr>
              <w:widowControl w:val="0"/>
              <w:spacing w:line="240" w:lineRule="auto"/>
              <w:jc w:val="center"/>
            </w:pPr>
            <w:r>
              <w:t>Mean cell area</w:t>
            </w:r>
          </w:p>
        </w:tc>
        <w:tc>
          <w:tcPr>
            <w:tcW w:w="1880" w:type="dxa"/>
            <w:shd w:val="clear" w:color="auto" w:fill="auto"/>
            <w:tcMar>
              <w:top w:w="100" w:type="dxa"/>
              <w:left w:w="100" w:type="dxa"/>
              <w:bottom w:w="100" w:type="dxa"/>
              <w:right w:w="100" w:type="dxa"/>
            </w:tcMar>
            <w:vAlign w:val="center"/>
          </w:tcPr>
          <w:p w14:paraId="221E1A8C" w14:textId="77777777" w:rsidR="00337DEE" w:rsidRDefault="009B4601">
            <w:pPr>
              <w:widowControl w:val="0"/>
              <w:spacing w:line="240" w:lineRule="auto"/>
              <w:jc w:val="center"/>
            </w:pPr>
            <w:r>
              <w:t>0.353</w:t>
            </w:r>
          </w:p>
        </w:tc>
        <w:tc>
          <w:tcPr>
            <w:tcW w:w="1880" w:type="dxa"/>
            <w:shd w:val="clear" w:color="auto" w:fill="auto"/>
            <w:tcMar>
              <w:top w:w="100" w:type="dxa"/>
              <w:left w:w="100" w:type="dxa"/>
              <w:bottom w:w="100" w:type="dxa"/>
              <w:right w:w="100" w:type="dxa"/>
            </w:tcMar>
            <w:vAlign w:val="center"/>
          </w:tcPr>
          <w:p w14:paraId="77ED304B" w14:textId="77777777" w:rsidR="00337DEE" w:rsidRDefault="009B4601">
            <w:pPr>
              <w:widowControl w:val="0"/>
              <w:spacing w:line="240" w:lineRule="auto"/>
              <w:jc w:val="center"/>
            </w:pPr>
            <w:r>
              <w:t>0.384</w:t>
            </w:r>
          </w:p>
        </w:tc>
      </w:tr>
      <w:tr w:rsidR="00337DEE" w14:paraId="0ACF81FE" w14:textId="77777777">
        <w:trPr>
          <w:trHeight w:val="420"/>
        </w:trPr>
        <w:tc>
          <w:tcPr>
            <w:tcW w:w="1880" w:type="dxa"/>
            <w:vMerge/>
            <w:shd w:val="clear" w:color="auto" w:fill="auto"/>
            <w:tcMar>
              <w:top w:w="100" w:type="dxa"/>
              <w:left w:w="100" w:type="dxa"/>
              <w:bottom w:w="100" w:type="dxa"/>
              <w:right w:w="100" w:type="dxa"/>
            </w:tcMar>
            <w:vAlign w:val="center"/>
          </w:tcPr>
          <w:p w14:paraId="1EA28930" w14:textId="77777777" w:rsidR="00337DEE" w:rsidRDefault="00337DEE">
            <w:pPr>
              <w:widowControl w:val="0"/>
              <w:spacing w:line="240" w:lineRule="auto"/>
            </w:pPr>
          </w:p>
        </w:tc>
        <w:tc>
          <w:tcPr>
            <w:tcW w:w="1350" w:type="dxa"/>
            <w:vMerge/>
            <w:shd w:val="clear" w:color="auto" w:fill="auto"/>
            <w:tcMar>
              <w:top w:w="100" w:type="dxa"/>
              <w:left w:w="100" w:type="dxa"/>
              <w:bottom w:w="100" w:type="dxa"/>
              <w:right w:w="100" w:type="dxa"/>
            </w:tcMar>
            <w:vAlign w:val="center"/>
          </w:tcPr>
          <w:p w14:paraId="5C75A857" w14:textId="77777777" w:rsidR="00337DEE" w:rsidRDefault="00337DEE">
            <w:pPr>
              <w:widowControl w:val="0"/>
              <w:spacing w:line="240" w:lineRule="auto"/>
            </w:pPr>
          </w:p>
        </w:tc>
        <w:tc>
          <w:tcPr>
            <w:tcW w:w="2370" w:type="dxa"/>
            <w:shd w:val="clear" w:color="auto" w:fill="auto"/>
            <w:tcMar>
              <w:top w:w="100" w:type="dxa"/>
              <w:left w:w="100" w:type="dxa"/>
              <w:bottom w:w="100" w:type="dxa"/>
              <w:right w:w="100" w:type="dxa"/>
            </w:tcMar>
            <w:vAlign w:val="center"/>
          </w:tcPr>
          <w:p w14:paraId="28C7EA66" w14:textId="77777777" w:rsidR="00337DEE" w:rsidRDefault="009B4601">
            <w:pPr>
              <w:widowControl w:val="0"/>
              <w:spacing w:line="240" w:lineRule="auto"/>
              <w:jc w:val="center"/>
            </w:pPr>
            <w:r>
              <w:t>Variance cell area</w:t>
            </w:r>
          </w:p>
        </w:tc>
        <w:tc>
          <w:tcPr>
            <w:tcW w:w="1880" w:type="dxa"/>
            <w:shd w:val="clear" w:color="auto" w:fill="auto"/>
            <w:tcMar>
              <w:top w:w="100" w:type="dxa"/>
              <w:left w:w="100" w:type="dxa"/>
              <w:bottom w:w="100" w:type="dxa"/>
              <w:right w:w="100" w:type="dxa"/>
            </w:tcMar>
            <w:vAlign w:val="center"/>
          </w:tcPr>
          <w:p w14:paraId="187807E6" w14:textId="77777777" w:rsidR="00337DEE" w:rsidRDefault="009B4601">
            <w:pPr>
              <w:widowControl w:val="0"/>
              <w:spacing w:line="240" w:lineRule="auto"/>
              <w:jc w:val="center"/>
            </w:pPr>
            <w:r>
              <w:t>0.629</w:t>
            </w:r>
          </w:p>
        </w:tc>
        <w:tc>
          <w:tcPr>
            <w:tcW w:w="1880" w:type="dxa"/>
            <w:shd w:val="clear" w:color="auto" w:fill="auto"/>
            <w:tcMar>
              <w:top w:w="100" w:type="dxa"/>
              <w:left w:w="100" w:type="dxa"/>
              <w:bottom w:w="100" w:type="dxa"/>
              <w:right w:w="100" w:type="dxa"/>
            </w:tcMar>
            <w:vAlign w:val="center"/>
          </w:tcPr>
          <w:p w14:paraId="4FD3C8E9" w14:textId="77777777" w:rsidR="00337DEE" w:rsidRDefault="009B4601">
            <w:pPr>
              <w:widowControl w:val="0"/>
              <w:spacing w:line="240" w:lineRule="auto"/>
              <w:jc w:val="center"/>
            </w:pPr>
            <w:r>
              <w:t>0.360</w:t>
            </w:r>
          </w:p>
        </w:tc>
      </w:tr>
      <w:tr w:rsidR="00337DEE" w14:paraId="592F3693" w14:textId="77777777">
        <w:trPr>
          <w:trHeight w:val="420"/>
        </w:trPr>
        <w:tc>
          <w:tcPr>
            <w:tcW w:w="1880" w:type="dxa"/>
            <w:vMerge/>
            <w:shd w:val="clear" w:color="auto" w:fill="auto"/>
            <w:tcMar>
              <w:top w:w="100" w:type="dxa"/>
              <w:left w:w="100" w:type="dxa"/>
              <w:bottom w:w="100" w:type="dxa"/>
              <w:right w:w="100" w:type="dxa"/>
            </w:tcMar>
            <w:vAlign w:val="center"/>
          </w:tcPr>
          <w:p w14:paraId="55BA9D9A" w14:textId="77777777" w:rsidR="00337DEE" w:rsidRDefault="00337DEE">
            <w:pPr>
              <w:widowControl w:val="0"/>
              <w:spacing w:line="240" w:lineRule="auto"/>
            </w:pPr>
          </w:p>
        </w:tc>
        <w:tc>
          <w:tcPr>
            <w:tcW w:w="1350" w:type="dxa"/>
            <w:vMerge w:val="restart"/>
            <w:shd w:val="clear" w:color="auto" w:fill="auto"/>
            <w:tcMar>
              <w:top w:w="100" w:type="dxa"/>
              <w:left w:w="100" w:type="dxa"/>
              <w:bottom w:w="100" w:type="dxa"/>
              <w:right w:w="100" w:type="dxa"/>
            </w:tcMar>
            <w:vAlign w:val="center"/>
          </w:tcPr>
          <w:p w14:paraId="733CFCDA" w14:textId="77777777" w:rsidR="00337DEE" w:rsidRDefault="009B4601">
            <w:pPr>
              <w:widowControl w:val="0"/>
              <w:spacing w:line="240" w:lineRule="auto"/>
              <w:jc w:val="center"/>
            </w:pPr>
            <w:r>
              <w:t>Females</w:t>
            </w:r>
          </w:p>
        </w:tc>
        <w:tc>
          <w:tcPr>
            <w:tcW w:w="2370" w:type="dxa"/>
            <w:shd w:val="clear" w:color="auto" w:fill="auto"/>
            <w:tcMar>
              <w:top w:w="100" w:type="dxa"/>
              <w:left w:w="100" w:type="dxa"/>
              <w:bottom w:w="100" w:type="dxa"/>
              <w:right w:w="100" w:type="dxa"/>
            </w:tcMar>
            <w:vAlign w:val="center"/>
          </w:tcPr>
          <w:p w14:paraId="05BD2438" w14:textId="77777777" w:rsidR="00337DEE" w:rsidRDefault="009B4601">
            <w:pPr>
              <w:widowControl w:val="0"/>
              <w:spacing w:line="240" w:lineRule="auto"/>
              <w:jc w:val="center"/>
            </w:pPr>
            <w:r>
              <w:t>Mean cell area</w:t>
            </w:r>
          </w:p>
        </w:tc>
        <w:tc>
          <w:tcPr>
            <w:tcW w:w="1880" w:type="dxa"/>
            <w:shd w:val="clear" w:color="auto" w:fill="auto"/>
            <w:tcMar>
              <w:top w:w="100" w:type="dxa"/>
              <w:left w:w="100" w:type="dxa"/>
              <w:bottom w:w="100" w:type="dxa"/>
              <w:right w:w="100" w:type="dxa"/>
            </w:tcMar>
            <w:vAlign w:val="center"/>
          </w:tcPr>
          <w:p w14:paraId="442336E9" w14:textId="77777777" w:rsidR="00337DEE" w:rsidRDefault="009B4601">
            <w:pPr>
              <w:widowControl w:val="0"/>
              <w:spacing w:line="240" w:lineRule="auto"/>
              <w:jc w:val="center"/>
            </w:pPr>
            <w:r>
              <w:t>0.609</w:t>
            </w:r>
          </w:p>
        </w:tc>
        <w:tc>
          <w:tcPr>
            <w:tcW w:w="1880" w:type="dxa"/>
            <w:shd w:val="clear" w:color="auto" w:fill="auto"/>
            <w:tcMar>
              <w:top w:w="100" w:type="dxa"/>
              <w:left w:w="100" w:type="dxa"/>
              <w:bottom w:w="100" w:type="dxa"/>
              <w:right w:w="100" w:type="dxa"/>
            </w:tcMar>
            <w:vAlign w:val="center"/>
          </w:tcPr>
          <w:p w14:paraId="15FE55D3" w14:textId="77777777" w:rsidR="00337DEE" w:rsidRDefault="009B4601">
            <w:pPr>
              <w:widowControl w:val="0"/>
              <w:spacing w:line="240" w:lineRule="auto"/>
              <w:jc w:val="center"/>
            </w:pPr>
            <w:r>
              <w:t>0.614</w:t>
            </w:r>
          </w:p>
        </w:tc>
      </w:tr>
      <w:tr w:rsidR="00337DEE" w14:paraId="734A5A01" w14:textId="77777777">
        <w:trPr>
          <w:trHeight w:val="420"/>
        </w:trPr>
        <w:tc>
          <w:tcPr>
            <w:tcW w:w="1880" w:type="dxa"/>
            <w:vMerge/>
            <w:shd w:val="clear" w:color="auto" w:fill="auto"/>
            <w:tcMar>
              <w:top w:w="100" w:type="dxa"/>
              <w:left w:w="100" w:type="dxa"/>
              <w:bottom w:w="100" w:type="dxa"/>
              <w:right w:w="100" w:type="dxa"/>
            </w:tcMar>
            <w:vAlign w:val="center"/>
          </w:tcPr>
          <w:p w14:paraId="034D84B7" w14:textId="77777777" w:rsidR="00337DEE" w:rsidRDefault="00337DEE">
            <w:pPr>
              <w:widowControl w:val="0"/>
              <w:spacing w:line="240" w:lineRule="auto"/>
            </w:pPr>
          </w:p>
        </w:tc>
        <w:tc>
          <w:tcPr>
            <w:tcW w:w="1350" w:type="dxa"/>
            <w:vMerge/>
            <w:shd w:val="clear" w:color="auto" w:fill="auto"/>
            <w:tcMar>
              <w:top w:w="100" w:type="dxa"/>
              <w:left w:w="100" w:type="dxa"/>
              <w:bottom w:w="100" w:type="dxa"/>
              <w:right w:w="100" w:type="dxa"/>
            </w:tcMar>
            <w:vAlign w:val="center"/>
          </w:tcPr>
          <w:p w14:paraId="4FE915C1" w14:textId="77777777" w:rsidR="00337DEE" w:rsidRDefault="00337DEE">
            <w:pPr>
              <w:widowControl w:val="0"/>
              <w:spacing w:line="240" w:lineRule="auto"/>
            </w:pPr>
          </w:p>
        </w:tc>
        <w:tc>
          <w:tcPr>
            <w:tcW w:w="2370" w:type="dxa"/>
            <w:shd w:val="clear" w:color="auto" w:fill="auto"/>
            <w:tcMar>
              <w:top w:w="100" w:type="dxa"/>
              <w:left w:w="100" w:type="dxa"/>
              <w:bottom w:w="100" w:type="dxa"/>
              <w:right w:w="100" w:type="dxa"/>
            </w:tcMar>
            <w:vAlign w:val="center"/>
          </w:tcPr>
          <w:p w14:paraId="3BF46C93" w14:textId="77777777" w:rsidR="00337DEE" w:rsidRDefault="009B4601">
            <w:pPr>
              <w:widowControl w:val="0"/>
              <w:spacing w:line="240" w:lineRule="auto"/>
              <w:jc w:val="center"/>
            </w:pPr>
            <w:r>
              <w:t>Variance cell area</w:t>
            </w:r>
          </w:p>
        </w:tc>
        <w:tc>
          <w:tcPr>
            <w:tcW w:w="1880" w:type="dxa"/>
            <w:shd w:val="clear" w:color="auto" w:fill="auto"/>
            <w:tcMar>
              <w:top w:w="100" w:type="dxa"/>
              <w:left w:w="100" w:type="dxa"/>
              <w:bottom w:w="100" w:type="dxa"/>
              <w:right w:w="100" w:type="dxa"/>
            </w:tcMar>
            <w:vAlign w:val="center"/>
          </w:tcPr>
          <w:p w14:paraId="2AF61D9E" w14:textId="77777777" w:rsidR="00337DEE" w:rsidRDefault="009B4601">
            <w:pPr>
              <w:widowControl w:val="0"/>
              <w:spacing w:line="240" w:lineRule="auto"/>
              <w:jc w:val="center"/>
            </w:pPr>
            <w:r>
              <w:t>0.785</w:t>
            </w:r>
          </w:p>
        </w:tc>
        <w:tc>
          <w:tcPr>
            <w:tcW w:w="1880" w:type="dxa"/>
            <w:shd w:val="clear" w:color="auto" w:fill="auto"/>
            <w:tcMar>
              <w:top w:w="100" w:type="dxa"/>
              <w:left w:w="100" w:type="dxa"/>
              <w:bottom w:w="100" w:type="dxa"/>
              <w:right w:w="100" w:type="dxa"/>
            </w:tcMar>
            <w:vAlign w:val="center"/>
          </w:tcPr>
          <w:p w14:paraId="3EDB048D" w14:textId="77777777" w:rsidR="00337DEE" w:rsidRDefault="009B4601">
            <w:pPr>
              <w:widowControl w:val="0"/>
              <w:spacing w:line="240" w:lineRule="auto"/>
              <w:jc w:val="center"/>
            </w:pPr>
            <w:r>
              <w:t>0.575</w:t>
            </w:r>
          </w:p>
        </w:tc>
      </w:tr>
      <w:tr w:rsidR="00337DEE" w14:paraId="487ECCC6" w14:textId="77777777">
        <w:trPr>
          <w:trHeight w:val="420"/>
        </w:trPr>
        <w:tc>
          <w:tcPr>
            <w:tcW w:w="1880" w:type="dxa"/>
            <w:vMerge/>
            <w:shd w:val="clear" w:color="auto" w:fill="auto"/>
            <w:tcMar>
              <w:top w:w="100" w:type="dxa"/>
              <w:left w:w="100" w:type="dxa"/>
              <w:bottom w:w="100" w:type="dxa"/>
              <w:right w:w="100" w:type="dxa"/>
            </w:tcMar>
            <w:vAlign w:val="center"/>
          </w:tcPr>
          <w:p w14:paraId="066BCED4" w14:textId="77777777" w:rsidR="00337DEE" w:rsidRDefault="00337DEE">
            <w:pPr>
              <w:widowControl w:val="0"/>
              <w:spacing w:line="240" w:lineRule="auto"/>
            </w:pPr>
          </w:p>
        </w:tc>
        <w:tc>
          <w:tcPr>
            <w:tcW w:w="1350" w:type="dxa"/>
            <w:vMerge w:val="restart"/>
            <w:shd w:val="clear" w:color="auto" w:fill="auto"/>
            <w:tcMar>
              <w:top w:w="100" w:type="dxa"/>
              <w:left w:w="100" w:type="dxa"/>
              <w:bottom w:w="100" w:type="dxa"/>
              <w:right w:w="100" w:type="dxa"/>
            </w:tcMar>
            <w:vAlign w:val="center"/>
          </w:tcPr>
          <w:p w14:paraId="70EA553B" w14:textId="77777777" w:rsidR="00337DEE" w:rsidRDefault="009B4601">
            <w:pPr>
              <w:widowControl w:val="0"/>
              <w:spacing w:line="240" w:lineRule="auto"/>
              <w:jc w:val="center"/>
            </w:pPr>
            <w:r>
              <w:t>Males</w:t>
            </w:r>
          </w:p>
        </w:tc>
        <w:tc>
          <w:tcPr>
            <w:tcW w:w="2370" w:type="dxa"/>
            <w:shd w:val="clear" w:color="auto" w:fill="auto"/>
            <w:tcMar>
              <w:top w:w="100" w:type="dxa"/>
              <w:left w:w="100" w:type="dxa"/>
              <w:bottom w:w="100" w:type="dxa"/>
              <w:right w:w="100" w:type="dxa"/>
            </w:tcMar>
            <w:vAlign w:val="center"/>
          </w:tcPr>
          <w:p w14:paraId="68D4BDCE" w14:textId="77777777" w:rsidR="00337DEE" w:rsidRDefault="009B4601">
            <w:pPr>
              <w:widowControl w:val="0"/>
              <w:spacing w:line="240" w:lineRule="auto"/>
              <w:jc w:val="center"/>
            </w:pPr>
            <w:r>
              <w:t>Mean cell area</w:t>
            </w:r>
          </w:p>
        </w:tc>
        <w:tc>
          <w:tcPr>
            <w:tcW w:w="1880" w:type="dxa"/>
            <w:shd w:val="clear" w:color="auto" w:fill="auto"/>
            <w:tcMar>
              <w:top w:w="100" w:type="dxa"/>
              <w:left w:w="100" w:type="dxa"/>
              <w:bottom w:w="100" w:type="dxa"/>
              <w:right w:w="100" w:type="dxa"/>
            </w:tcMar>
            <w:vAlign w:val="center"/>
          </w:tcPr>
          <w:p w14:paraId="44826DF7" w14:textId="77777777" w:rsidR="00337DEE" w:rsidRDefault="009B4601">
            <w:pPr>
              <w:widowControl w:val="0"/>
              <w:spacing w:line="240" w:lineRule="auto"/>
              <w:jc w:val="center"/>
            </w:pPr>
            <w:r>
              <w:t>0.347</w:t>
            </w:r>
          </w:p>
        </w:tc>
        <w:tc>
          <w:tcPr>
            <w:tcW w:w="1880" w:type="dxa"/>
            <w:shd w:val="clear" w:color="auto" w:fill="auto"/>
            <w:tcMar>
              <w:top w:w="100" w:type="dxa"/>
              <w:left w:w="100" w:type="dxa"/>
              <w:bottom w:w="100" w:type="dxa"/>
              <w:right w:w="100" w:type="dxa"/>
            </w:tcMar>
            <w:vAlign w:val="center"/>
          </w:tcPr>
          <w:p w14:paraId="5AC1664F" w14:textId="77777777" w:rsidR="00337DEE" w:rsidRDefault="009B4601">
            <w:pPr>
              <w:widowControl w:val="0"/>
              <w:spacing w:line="240" w:lineRule="auto"/>
              <w:jc w:val="center"/>
            </w:pPr>
            <w:r>
              <w:t>0.505</w:t>
            </w:r>
          </w:p>
        </w:tc>
      </w:tr>
      <w:tr w:rsidR="00337DEE" w14:paraId="0A1C6113" w14:textId="77777777">
        <w:trPr>
          <w:trHeight w:val="420"/>
        </w:trPr>
        <w:tc>
          <w:tcPr>
            <w:tcW w:w="1880" w:type="dxa"/>
            <w:vMerge/>
            <w:shd w:val="clear" w:color="auto" w:fill="auto"/>
            <w:tcMar>
              <w:top w:w="100" w:type="dxa"/>
              <w:left w:w="100" w:type="dxa"/>
              <w:bottom w:w="100" w:type="dxa"/>
              <w:right w:w="100" w:type="dxa"/>
            </w:tcMar>
            <w:vAlign w:val="center"/>
          </w:tcPr>
          <w:p w14:paraId="4382AD3C" w14:textId="77777777" w:rsidR="00337DEE" w:rsidRDefault="00337DEE">
            <w:pPr>
              <w:widowControl w:val="0"/>
              <w:spacing w:line="240" w:lineRule="auto"/>
            </w:pPr>
          </w:p>
        </w:tc>
        <w:tc>
          <w:tcPr>
            <w:tcW w:w="1350" w:type="dxa"/>
            <w:vMerge/>
            <w:shd w:val="clear" w:color="auto" w:fill="auto"/>
            <w:tcMar>
              <w:top w:w="100" w:type="dxa"/>
              <w:left w:w="100" w:type="dxa"/>
              <w:bottom w:w="100" w:type="dxa"/>
              <w:right w:w="100" w:type="dxa"/>
            </w:tcMar>
            <w:vAlign w:val="center"/>
          </w:tcPr>
          <w:p w14:paraId="073CA075" w14:textId="77777777" w:rsidR="00337DEE" w:rsidRDefault="00337DEE">
            <w:pPr>
              <w:widowControl w:val="0"/>
              <w:spacing w:line="240" w:lineRule="auto"/>
            </w:pPr>
          </w:p>
        </w:tc>
        <w:tc>
          <w:tcPr>
            <w:tcW w:w="2370" w:type="dxa"/>
            <w:shd w:val="clear" w:color="auto" w:fill="auto"/>
            <w:tcMar>
              <w:top w:w="100" w:type="dxa"/>
              <w:left w:w="100" w:type="dxa"/>
              <w:bottom w:w="100" w:type="dxa"/>
              <w:right w:w="100" w:type="dxa"/>
            </w:tcMar>
            <w:vAlign w:val="center"/>
          </w:tcPr>
          <w:p w14:paraId="3BE44AD2" w14:textId="77777777" w:rsidR="00337DEE" w:rsidRDefault="009B4601">
            <w:pPr>
              <w:widowControl w:val="0"/>
              <w:spacing w:line="240" w:lineRule="auto"/>
              <w:jc w:val="center"/>
            </w:pPr>
            <w:r>
              <w:t>Variance cell area</w:t>
            </w:r>
          </w:p>
        </w:tc>
        <w:tc>
          <w:tcPr>
            <w:tcW w:w="1880" w:type="dxa"/>
            <w:shd w:val="clear" w:color="auto" w:fill="auto"/>
            <w:tcMar>
              <w:top w:w="100" w:type="dxa"/>
              <w:left w:w="100" w:type="dxa"/>
              <w:bottom w:w="100" w:type="dxa"/>
              <w:right w:w="100" w:type="dxa"/>
            </w:tcMar>
            <w:vAlign w:val="center"/>
          </w:tcPr>
          <w:p w14:paraId="40173B79" w14:textId="77777777" w:rsidR="00337DEE" w:rsidRDefault="009B4601">
            <w:pPr>
              <w:widowControl w:val="0"/>
              <w:spacing w:line="240" w:lineRule="auto"/>
              <w:jc w:val="center"/>
            </w:pPr>
            <w:r>
              <w:t>0.768</w:t>
            </w:r>
          </w:p>
        </w:tc>
        <w:tc>
          <w:tcPr>
            <w:tcW w:w="1880" w:type="dxa"/>
            <w:shd w:val="clear" w:color="auto" w:fill="auto"/>
            <w:tcMar>
              <w:top w:w="100" w:type="dxa"/>
              <w:left w:w="100" w:type="dxa"/>
              <w:bottom w:w="100" w:type="dxa"/>
              <w:right w:w="100" w:type="dxa"/>
            </w:tcMar>
            <w:vAlign w:val="center"/>
          </w:tcPr>
          <w:p w14:paraId="56515AFC" w14:textId="77777777" w:rsidR="00337DEE" w:rsidRDefault="009B4601">
            <w:pPr>
              <w:widowControl w:val="0"/>
              <w:spacing w:line="240" w:lineRule="auto"/>
              <w:jc w:val="center"/>
            </w:pPr>
            <w:r>
              <w:t>0.494</w:t>
            </w:r>
          </w:p>
        </w:tc>
      </w:tr>
      <w:tr w:rsidR="00337DEE" w14:paraId="343A1776" w14:textId="77777777">
        <w:trPr>
          <w:trHeight w:val="420"/>
        </w:trPr>
        <w:tc>
          <w:tcPr>
            <w:tcW w:w="1880" w:type="dxa"/>
            <w:vMerge w:val="restart"/>
            <w:shd w:val="clear" w:color="auto" w:fill="auto"/>
            <w:tcMar>
              <w:top w:w="100" w:type="dxa"/>
              <w:left w:w="100" w:type="dxa"/>
              <w:bottom w:w="100" w:type="dxa"/>
              <w:right w:w="100" w:type="dxa"/>
            </w:tcMar>
            <w:vAlign w:val="center"/>
          </w:tcPr>
          <w:p w14:paraId="7DC4BC1D" w14:textId="77777777" w:rsidR="00337DEE" w:rsidRDefault="009B4601">
            <w:pPr>
              <w:widowControl w:val="0"/>
              <w:spacing w:line="240" w:lineRule="auto"/>
              <w:jc w:val="center"/>
            </w:pPr>
            <w:r>
              <w:t>Visceral</w:t>
            </w:r>
          </w:p>
        </w:tc>
        <w:tc>
          <w:tcPr>
            <w:tcW w:w="1350" w:type="dxa"/>
            <w:vMerge w:val="restart"/>
            <w:shd w:val="clear" w:color="auto" w:fill="auto"/>
            <w:tcMar>
              <w:top w:w="100" w:type="dxa"/>
              <w:left w:w="100" w:type="dxa"/>
              <w:bottom w:w="100" w:type="dxa"/>
              <w:right w:w="100" w:type="dxa"/>
            </w:tcMar>
            <w:vAlign w:val="center"/>
          </w:tcPr>
          <w:p w14:paraId="7F7196CC" w14:textId="77777777" w:rsidR="00337DEE" w:rsidRDefault="009B4601">
            <w:pPr>
              <w:widowControl w:val="0"/>
              <w:spacing w:line="240" w:lineRule="auto"/>
              <w:jc w:val="center"/>
            </w:pPr>
            <w:r>
              <w:t>Combined</w:t>
            </w:r>
          </w:p>
        </w:tc>
        <w:tc>
          <w:tcPr>
            <w:tcW w:w="2370" w:type="dxa"/>
            <w:shd w:val="clear" w:color="auto" w:fill="auto"/>
            <w:tcMar>
              <w:top w:w="100" w:type="dxa"/>
              <w:left w:w="100" w:type="dxa"/>
              <w:bottom w:w="100" w:type="dxa"/>
              <w:right w:w="100" w:type="dxa"/>
            </w:tcMar>
            <w:vAlign w:val="center"/>
          </w:tcPr>
          <w:p w14:paraId="43B31076" w14:textId="77777777" w:rsidR="00337DEE" w:rsidRDefault="009B4601">
            <w:pPr>
              <w:widowControl w:val="0"/>
              <w:spacing w:line="240" w:lineRule="auto"/>
              <w:jc w:val="center"/>
            </w:pPr>
            <w:r>
              <w:t>Mean cell area</w:t>
            </w:r>
          </w:p>
        </w:tc>
        <w:tc>
          <w:tcPr>
            <w:tcW w:w="1880" w:type="dxa"/>
            <w:shd w:val="clear" w:color="auto" w:fill="auto"/>
            <w:tcMar>
              <w:top w:w="100" w:type="dxa"/>
              <w:left w:w="100" w:type="dxa"/>
              <w:bottom w:w="100" w:type="dxa"/>
              <w:right w:w="100" w:type="dxa"/>
            </w:tcMar>
            <w:vAlign w:val="center"/>
          </w:tcPr>
          <w:p w14:paraId="478B5E8D" w14:textId="77777777" w:rsidR="00337DEE" w:rsidRDefault="009B4601">
            <w:pPr>
              <w:widowControl w:val="0"/>
              <w:spacing w:line="240" w:lineRule="auto"/>
              <w:jc w:val="center"/>
            </w:pPr>
            <w:r>
              <w:t>0.224</w:t>
            </w:r>
          </w:p>
        </w:tc>
        <w:tc>
          <w:tcPr>
            <w:tcW w:w="1880" w:type="dxa"/>
            <w:shd w:val="clear" w:color="auto" w:fill="auto"/>
            <w:tcMar>
              <w:top w:w="100" w:type="dxa"/>
              <w:left w:w="100" w:type="dxa"/>
              <w:bottom w:w="100" w:type="dxa"/>
              <w:right w:w="100" w:type="dxa"/>
            </w:tcMar>
            <w:vAlign w:val="center"/>
          </w:tcPr>
          <w:p w14:paraId="48B71F57" w14:textId="77777777" w:rsidR="00337DEE" w:rsidRDefault="009B4601">
            <w:pPr>
              <w:widowControl w:val="0"/>
              <w:spacing w:line="240" w:lineRule="auto"/>
              <w:jc w:val="center"/>
            </w:pPr>
            <w:r>
              <w:t>0.485</w:t>
            </w:r>
          </w:p>
        </w:tc>
      </w:tr>
      <w:tr w:rsidR="00337DEE" w14:paraId="2DC14A7D" w14:textId="77777777">
        <w:trPr>
          <w:trHeight w:val="420"/>
        </w:trPr>
        <w:tc>
          <w:tcPr>
            <w:tcW w:w="1880" w:type="dxa"/>
            <w:vMerge/>
            <w:shd w:val="clear" w:color="auto" w:fill="auto"/>
            <w:tcMar>
              <w:top w:w="100" w:type="dxa"/>
              <w:left w:w="100" w:type="dxa"/>
              <w:bottom w:w="100" w:type="dxa"/>
              <w:right w:w="100" w:type="dxa"/>
            </w:tcMar>
            <w:vAlign w:val="center"/>
          </w:tcPr>
          <w:p w14:paraId="33A2CEF4" w14:textId="77777777" w:rsidR="00337DEE" w:rsidRDefault="00337DEE">
            <w:pPr>
              <w:widowControl w:val="0"/>
              <w:spacing w:line="240" w:lineRule="auto"/>
            </w:pPr>
          </w:p>
        </w:tc>
        <w:tc>
          <w:tcPr>
            <w:tcW w:w="1350" w:type="dxa"/>
            <w:vMerge/>
            <w:shd w:val="clear" w:color="auto" w:fill="auto"/>
            <w:tcMar>
              <w:top w:w="100" w:type="dxa"/>
              <w:left w:w="100" w:type="dxa"/>
              <w:bottom w:w="100" w:type="dxa"/>
              <w:right w:w="100" w:type="dxa"/>
            </w:tcMar>
            <w:vAlign w:val="center"/>
          </w:tcPr>
          <w:p w14:paraId="07EA2C41" w14:textId="77777777" w:rsidR="00337DEE" w:rsidRDefault="00337DEE">
            <w:pPr>
              <w:widowControl w:val="0"/>
              <w:spacing w:line="240" w:lineRule="auto"/>
            </w:pPr>
          </w:p>
        </w:tc>
        <w:tc>
          <w:tcPr>
            <w:tcW w:w="2370" w:type="dxa"/>
            <w:shd w:val="clear" w:color="auto" w:fill="auto"/>
            <w:tcMar>
              <w:top w:w="100" w:type="dxa"/>
              <w:left w:w="100" w:type="dxa"/>
              <w:bottom w:w="100" w:type="dxa"/>
              <w:right w:w="100" w:type="dxa"/>
            </w:tcMar>
            <w:vAlign w:val="center"/>
          </w:tcPr>
          <w:p w14:paraId="3DB06346" w14:textId="77777777" w:rsidR="00337DEE" w:rsidRDefault="009B4601">
            <w:pPr>
              <w:widowControl w:val="0"/>
              <w:spacing w:line="240" w:lineRule="auto"/>
              <w:jc w:val="center"/>
            </w:pPr>
            <w:r>
              <w:t>Variance cell area</w:t>
            </w:r>
          </w:p>
        </w:tc>
        <w:tc>
          <w:tcPr>
            <w:tcW w:w="1880" w:type="dxa"/>
            <w:shd w:val="clear" w:color="auto" w:fill="auto"/>
            <w:tcMar>
              <w:top w:w="100" w:type="dxa"/>
              <w:left w:w="100" w:type="dxa"/>
              <w:bottom w:w="100" w:type="dxa"/>
              <w:right w:w="100" w:type="dxa"/>
            </w:tcMar>
            <w:vAlign w:val="center"/>
          </w:tcPr>
          <w:p w14:paraId="32DD4DF8" w14:textId="77777777" w:rsidR="00337DEE" w:rsidRDefault="009B4601">
            <w:pPr>
              <w:widowControl w:val="0"/>
              <w:spacing w:line="240" w:lineRule="auto"/>
              <w:jc w:val="center"/>
            </w:pPr>
            <w:r>
              <w:t>0.421</w:t>
            </w:r>
          </w:p>
        </w:tc>
        <w:tc>
          <w:tcPr>
            <w:tcW w:w="1880" w:type="dxa"/>
            <w:shd w:val="clear" w:color="auto" w:fill="auto"/>
            <w:tcMar>
              <w:top w:w="100" w:type="dxa"/>
              <w:left w:w="100" w:type="dxa"/>
              <w:bottom w:w="100" w:type="dxa"/>
              <w:right w:w="100" w:type="dxa"/>
            </w:tcMar>
            <w:vAlign w:val="center"/>
          </w:tcPr>
          <w:p w14:paraId="6F04FF41" w14:textId="77777777" w:rsidR="00337DEE" w:rsidRDefault="009B4601">
            <w:pPr>
              <w:widowControl w:val="0"/>
              <w:spacing w:line="240" w:lineRule="auto"/>
              <w:jc w:val="center"/>
            </w:pPr>
            <w:r>
              <w:t>0.509</w:t>
            </w:r>
          </w:p>
        </w:tc>
      </w:tr>
      <w:tr w:rsidR="00337DEE" w14:paraId="0B7C2B4C" w14:textId="77777777">
        <w:trPr>
          <w:trHeight w:val="420"/>
        </w:trPr>
        <w:tc>
          <w:tcPr>
            <w:tcW w:w="1880" w:type="dxa"/>
            <w:vMerge/>
            <w:shd w:val="clear" w:color="auto" w:fill="auto"/>
            <w:tcMar>
              <w:top w:w="100" w:type="dxa"/>
              <w:left w:w="100" w:type="dxa"/>
              <w:bottom w:w="100" w:type="dxa"/>
              <w:right w:w="100" w:type="dxa"/>
            </w:tcMar>
            <w:vAlign w:val="center"/>
          </w:tcPr>
          <w:p w14:paraId="6B536A36" w14:textId="77777777" w:rsidR="00337DEE" w:rsidRDefault="00337DEE">
            <w:pPr>
              <w:widowControl w:val="0"/>
              <w:spacing w:line="240" w:lineRule="auto"/>
            </w:pPr>
          </w:p>
        </w:tc>
        <w:tc>
          <w:tcPr>
            <w:tcW w:w="1350" w:type="dxa"/>
            <w:vMerge w:val="restart"/>
            <w:shd w:val="clear" w:color="auto" w:fill="auto"/>
            <w:tcMar>
              <w:top w:w="100" w:type="dxa"/>
              <w:left w:w="100" w:type="dxa"/>
              <w:bottom w:w="100" w:type="dxa"/>
              <w:right w:w="100" w:type="dxa"/>
            </w:tcMar>
            <w:vAlign w:val="center"/>
          </w:tcPr>
          <w:p w14:paraId="7A1E7A6C" w14:textId="77777777" w:rsidR="00337DEE" w:rsidRDefault="009B4601">
            <w:pPr>
              <w:widowControl w:val="0"/>
              <w:spacing w:line="240" w:lineRule="auto"/>
              <w:jc w:val="center"/>
            </w:pPr>
            <w:r>
              <w:t>Females</w:t>
            </w:r>
          </w:p>
        </w:tc>
        <w:tc>
          <w:tcPr>
            <w:tcW w:w="2370" w:type="dxa"/>
            <w:shd w:val="clear" w:color="auto" w:fill="auto"/>
            <w:tcMar>
              <w:top w:w="100" w:type="dxa"/>
              <w:left w:w="100" w:type="dxa"/>
              <w:bottom w:w="100" w:type="dxa"/>
              <w:right w:w="100" w:type="dxa"/>
            </w:tcMar>
            <w:vAlign w:val="center"/>
          </w:tcPr>
          <w:p w14:paraId="7E4B7525" w14:textId="77777777" w:rsidR="00337DEE" w:rsidRDefault="009B4601">
            <w:pPr>
              <w:widowControl w:val="0"/>
              <w:spacing w:line="240" w:lineRule="auto"/>
              <w:jc w:val="center"/>
            </w:pPr>
            <w:r>
              <w:t>Mean cell area</w:t>
            </w:r>
          </w:p>
        </w:tc>
        <w:tc>
          <w:tcPr>
            <w:tcW w:w="1880" w:type="dxa"/>
            <w:shd w:val="clear" w:color="auto" w:fill="auto"/>
            <w:tcMar>
              <w:top w:w="100" w:type="dxa"/>
              <w:left w:w="100" w:type="dxa"/>
              <w:bottom w:w="100" w:type="dxa"/>
              <w:right w:w="100" w:type="dxa"/>
            </w:tcMar>
            <w:vAlign w:val="center"/>
          </w:tcPr>
          <w:p w14:paraId="2FDA0CA5" w14:textId="77777777" w:rsidR="00337DEE" w:rsidRDefault="009B4601">
            <w:pPr>
              <w:widowControl w:val="0"/>
              <w:spacing w:line="240" w:lineRule="auto"/>
              <w:jc w:val="center"/>
            </w:pPr>
            <w:r>
              <w:t>0.000</w:t>
            </w:r>
          </w:p>
        </w:tc>
        <w:tc>
          <w:tcPr>
            <w:tcW w:w="1880" w:type="dxa"/>
            <w:shd w:val="clear" w:color="auto" w:fill="auto"/>
            <w:tcMar>
              <w:top w:w="100" w:type="dxa"/>
              <w:left w:w="100" w:type="dxa"/>
              <w:bottom w:w="100" w:type="dxa"/>
              <w:right w:w="100" w:type="dxa"/>
            </w:tcMar>
            <w:vAlign w:val="center"/>
          </w:tcPr>
          <w:p w14:paraId="5B23E7B0" w14:textId="77777777" w:rsidR="00337DEE" w:rsidRDefault="009B4601">
            <w:pPr>
              <w:widowControl w:val="0"/>
              <w:spacing w:line="240" w:lineRule="auto"/>
              <w:jc w:val="center"/>
            </w:pPr>
            <w:r>
              <w:t>0.854</w:t>
            </w:r>
          </w:p>
        </w:tc>
      </w:tr>
      <w:tr w:rsidR="00337DEE" w14:paraId="2C449D1E" w14:textId="77777777">
        <w:trPr>
          <w:trHeight w:val="420"/>
        </w:trPr>
        <w:tc>
          <w:tcPr>
            <w:tcW w:w="1880" w:type="dxa"/>
            <w:vMerge/>
            <w:shd w:val="clear" w:color="auto" w:fill="auto"/>
            <w:tcMar>
              <w:top w:w="100" w:type="dxa"/>
              <w:left w:w="100" w:type="dxa"/>
              <w:bottom w:w="100" w:type="dxa"/>
              <w:right w:w="100" w:type="dxa"/>
            </w:tcMar>
            <w:vAlign w:val="center"/>
          </w:tcPr>
          <w:p w14:paraId="3595CCB7" w14:textId="77777777" w:rsidR="00337DEE" w:rsidRDefault="00337DEE">
            <w:pPr>
              <w:widowControl w:val="0"/>
              <w:spacing w:line="240" w:lineRule="auto"/>
            </w:pPr>
          </w:p>
        </w:tc>
        <w:tc>
          <w:tcPr>
            <w:tcW w:w="1350" w:type="dxa"/>
            <w:vMerge/>
            <w:shd w:val="clear" w:color="auto" w:fill="auto"/>
            <w:tcMar>
              <w:top w:w="100" w:type="dxa"/>
              <w:left w:w="100" w:type="dxa"/>
              <w:bottom w:w="100" w:type="dxa"/>
              <w:right w:w="100" w:type="dxa"/>
            </w:tcMar>
            <w:vAlign w:val="center"/>
          </w:tcPr>
          <w:p w14:paraId="4EDB549B" w14:textId="77777777" w:rsidR="00337DEE" w:rsidRDefault="00337DEE">
            <w:pPr>
              <w:widowControl w:val="0"/>
              <w:spacing w:line="240" w:lineRule="auto"/>
            </w:pPr>
          </w:p>
        </w:tc>
        <w:tc>
          <w:tcPr>
            <w:tcW w:w="2370" w:type="dxa"/>
            <w:shd w:val="clear" w:color="auto" w:fill="auto"/>
            <w:tcMar>
              <w:top w:w="100" w:type="dxa"/>
              <w:left w:w="100" w:type="dxa"/>
              <w:bottom w:w="100" w:type="dxa"/>
              <w:right w:w="100" w:type="dxa"/>
            </w:tcMar>
            <w:vAlign w:val="center"/>
          </w:tcPr>
          <w:p w14:paraId="4F49AD20" w14:textId="77777777" w:rsidR="00337DEE" w:rsidRDefault="009B4601">
            <w:pPr>
              <w:widowControl w:val="0"/>
              <w:spacing w:line="240" w:lineRule="auto"/>
              <w:jc w:val="center"/>
            </w:pPr>
            <w:r>
              <w:t>Variance cell area</w:t>
            </w:r>
          </w:p>
        </w:tc>
        <w:tc>
          <w:tcPr>
            <w:tcW w:w="1880" w:type="dxa"/>
            <w:shd w:val="clear" w:color="auto" w:fill="auto"/>
            <w:tcMar>
              <w:top w:w="100" w:type="dxa"/>
              <w:left w:w="100" w:type="dxa"/>
              <w:bottom w:w="100" w:type="dxa"/>
              <w:right w:w="100" w:type="dxa"/>
            </w:tcMar>
            <w:vAlign w:val="center"/>
          </w:tcPr>
          <w:p w14:paraId="58839744" w14:textId="77777777" w:rsidR="00337DEE" w:rsidRDefault="009B4601">
            <w:pPr>
              <w:widowControl w:val="0"/>
              <w:spacing w:line="240" w:lineRule="auto"/>
              <w:jc w:val="center"/>
            </w:pPr>
            <w:r>
              <w:t>0.127</w:t>
            </w:r>
          </w:p>
        </w:tc>
        <w:tc>
          <w:tcPr>
            <w:tcW w:w="1880" w:type="dxa"/>
            <w:shd w:val="clear" w:color="auto" w:fill="auto"/>
            <w:tcMar>
              <w:top w:w="100" w:type="dxa"/>
              <w:left w:w="100" w:type="dxa"/>
              <w:bottom w:w="100" w:type="dxa"/>
              <w:right w:w="100" w:type="dxa"/>
            </w:tcMar>
            <w:vAlign w:val="center"/>
          </w:tcPr>
          <w:p w14:paraId="4B4EE218" w14:textId="77777777" w:rsidR="00337DEE" w:rsidRDefault="009B4601">
            <w:pPr>
              <w:widowControl w:val="0"/>
              <w:spacing w:line="240" w:lineRule="auto"/>
              <w:jc w:val="center"/>
            </w:pPr>
            <w:r>
              <w:t>0.840</w:t>
            </w:r>
          </w:p>
        </w:tc>
      </w:tr>
      <w:tr w:rsidR="00337DEE" w14:paraId="6BEDD458" w14:textId="77777777">
        <w:trPr>
          <w:trHeight w:val="420"/>
        </w:trPr>
        <w:tc>
          <w:tcPr>
            <w:tcW w:w="1880" w:type="dxa"/>
            <w:vMerge/>
            <w:shd w:val="clear" w:color="auto" w:fill="auto"/>
            <w:tcMar>
              <w:top w:w="100" w:type="dxa"/>
              <w:left w:w="100" w:type="dxa"/>
              <w:bottom w:w="100" w:type="dxa"/>
              <w:right w:w="100" w:type="dxa"/>
            </w:tcMar>
            <w:vAlign w:val="center"/>
          </w:tcPr>
          <w:p w14:paraId="5F4C5F0A" w14:textId="77777777" w:rsidR="00337DEE" w:rsidRDefault="00337DEE">
            <w:pPr>
              <w:widowControl w:val="0"/>
              <w:spacing w:line="240" w:lineRule="auto"/>
            </w:pPr>
          </w:p>
        </w:tc>
        <w:tc>
          <w:tcPr>
            <w:tcW w:w="1350" w:type="dxa"/>
            <w:vMerge w:val="restart"/>
            <w:shd w:val="clear" w:color="auto" w:fill="auto"/>
            <w:tcMar>
              <w:top w:w="100" w:type="dxa"/>
              <w:left w:w="100" w:type="dxa"/>
              <w:bottom w:w="100" w:type="dxa"/>
              <w:right w:w="100" w:type="dxa"/>
            </w:tcMar>
            <w:vAlign w:val="center"/>
          </w:tcPr>
          <w:p w14:paraId="0FE6E5FE" w14:textId="77777777" w:rsidR="00337DEE" w:rsidRDefault="009B4601">
            <w:pPr>
              <w:widowControl w:val="0"/>
              <w:spacing w:line="240" w:lineRule="auto"/>
              <w:jc w:val="center"/>
            </w:pPr>
            <w:r>
              <w:t>Males</w:t>
            </w:r>
          </w:p>
        </w:tc>
        <w:tc>
          <w:tcPr>
            <w:tcW w:w="2370" w:type="dxa"/>
            <w:shd w:val="clear" w:color="auto" w:fill="auto"/>
            <w:tcMar>
              <w:top w:w="100" w:type="dxa"/>
              <w:left w:w="100" w:type="dxa"/>
              <w:bottom w:w="100" w:type="dxa"/>
              <w:right w:w="100" w:type="dxa"/>
            </w:tcMar>
            <w:vAlign w:val="center"/>
          </w:tcPr>
          <w:p w14:paraId="2811EF35" w14:textId="77777777" w:rsidR="00337DEE" w:rsidRDefault="009B4601">
            <w:pPr>
              <w:widowControl w:val="0"/>
              <w:spacing w:line="240" w:lineRule="auto"/>
              <w:jc w:val="center"/>
            </w:pPr>
            <w:r>
              <w:t>Mean cell area</w:t>
            </w:r>
          </w:p>
        </w:tc>
        <w:tc>
          <w:tcPr>
            <w:tcW w:w="1880" w:type="dxa"/>
            <w:shd w:val="clear" w:color="auto" w:fill="auto"/>
            <w:tcMar>
              <w:top w:w="100" w:type="dxa"/>
              <w:left w:w="100" w:type="dxa"/>
              <w:bottom w:w="100" w:type="dxa"/>
              <w:right w:w="100" w:type="dxa"/>
            </w:tcMar>
            <w:vAlign w:val="center"/>
          </w:tcPr>
          <w:p w14:paraId="531284FE" w14:textId="77777777" w:rsidR="00337DEE" w:rsidRDefault="009B4601">
            <w:pPr>
              <w:widowControl w:val="0"/>
              <w:spacing w:line="240" w:lineRule="auto"/>
              <w:jc w:val="center"/>
            </w:pPr>
            <w:r>
              <w:t>0.742</w:t>
            </w:r>
          </w:p>
        </w:tc>
        <w:tc>
          <w:tcPr>
            <w:tcW w:w="1880" w:type="dxa"/>
            <w:shd w:val="clear" w:color="auto" w:fill="auto"/>
            <w:tcMar>
              <w:top w:w="100" w:type="dxa"/>
              <w:left w:w="100" w:type="dxa"/>
              <w:bottom w:w="100" w:type="dxa"/>
              <w:right w:w="100" w:type="dxa"/>
            </w:tcMar>
            <w:vAlign w:val="center"/>
          </w:tcPr>
          <w:p w14:paraId="0884DBB8" w14:textId="77777777" w:rsidR="00337DEE" w:rsidRDefault="009B4601">
            <w:pPr>
              <w:widowControl w:val="0"/>
              <w:spacing w:line="240" w:lineRule="auto"/>
              <w:jc w:val="center"/>
            </w:pPr>
            <w:r>
              <w:t>0.671</w:t>
            </w:r>
          </w:p>
        </w:tc>
      </w:tr>
      <w:tr w:rsidR="00337DEE" w14:paraId="658C929D" w14:textId="77777777">
        <w:trPr>
          <w:trHeight w:val="420"/>
        </w:trPr>
        <w:tc>
          <w:tcPr>
            <w:tcW w:w="1880" w:type="dxa"/>
            <w:vMerge/>
            <w:shd w:val="clear" w:color="auto" w:fill="auto"/>
            <w:tcMar>
              <w:top w:w="100" w:type="dxa"/>
              <w:left w:w="100" w:type="dxa"/>
              <w:bottom w:w="100" w:type="dxa"/>
              <w:right w:w="100" w:type="dxa"/>
            </w:tcMar>
            <w:vAlign w:val="center"/>
          </w:tcPr>
          <w:p w14:paraId="1DF81E25" w14:textId="77777777" w:rsidR="00337DEE" w:rsidRDefault="00337DEE">
            <w:pPr>
              <w:widowControl w:val="0"/>
              <w:spacing w:line="240" w:lineRule="auto"/>
            </w:pPr>
          </w:p>
        </w:tc>
        <w:tc>
          <w:tcPr>
            <w:tcW w:w="1350" w:type="dxa"/>
            <w:vMerge/>
            <w:shd w:val="clear" w:color="auto" w:fill="auto"/>
            <w:tcMar>
              <w:top w:w="100" w:type="dxa"/>
              <w:left w:w="100" w:type="dxa"/>
              <w:bottom w:w="100" w:type="dxa"/>
              <w:right w:w="100" w:type="dxa"/>
            </w:tcMar>
            <w:vAlign w:val="center"/>
          </w:tcPr>
          <w:p w14:paraId="52A933C1" w14:textId="77777777" w:rsidR="00337DEE" w:rsidRDefault="00337DEE">
            <w:pPr>
              <w:widowControl w:val="0"/>
              <w:spacing w:line="240" w:lineRule="auto"/>
            </w:pPr>
          </w:p>
        </w:tc>
        <w:tc>
          <w:tcPr>
            <w:tcW w:w="2370" w:type="dxa"/>
            <w:shd w:val="clear" w:color="auto" w:fill="auto"/>
            <w:tcMar>
              <w:top w:w="100" w:type="dxa"/>
              <w:left w:w="100" w:type="dxa"/>
              <w:bottom w:w="100" w:type="dxa"/>
              <w:right w:w="100" w:type="dxa"/>
            </w:tcMar>
            <w:vAlign w:val="center"/>
          </w:tcPr>
          <w:p w14:paraId="40334370" w14:textId="77777777" w:rsidR="00337DEE" w:rsidRDefault="009B4601">
            <w:pPr>
              <w:widowControl w:val="0"/>
              <w:spacing w:line="240" w:lineRule="auto"/>
              <w:jc w:val="center"/>
            </w:pPr>
            <w:r>
              <w:t>Variance cell area</w:t>
            </w:r>
          </w:p>
        </w:tc>
        <w:tc>
          <w:tcPr>
            <w:tcW w:w="1880" w:type="dxa"/>
            <w:shd w:val="clear" w:color="auto" w:fill="auto"/>
            <w:tcMar>
              <w:top w:w="100" w:type="dxa"/>
              <w:left w:w="100" w:type="dxa"/>
              <w:bottom w:w="100" w:type="dxa"/>
              <w:right w:w="100" w:type="dxa"/>
            </w:tcMar>
            <w:vAlign w:val="center"/>
          </w:tcPr>
          <w:p w14:paraId="09AEEEBE" w14:textId="77777777" w:rsidR="00337DEE" w:rsidRDefault="009B4601">
            <w:pPr>
              <w:widowControl w:val="0"/>
              <w:spacing w:line="240" w:lineRule="auto"/>
              <w:jc w:val="center"/>
            </w:pPr>
            <w:r>
              <w:t>1.000</w:t>
            </w:r>
          </w:p>
        </w:tc>
        <w:tc>
          <w:tcPr>
            <w:tcW w:w="1880" w:type="dxa"/>
            <w:shd w:val="clear" w:color="auto" w:fill="auto"/>
            <w:tcMar>
              <w:top w:w="100" w:type="dxa"/>
              <w:left w:w="100" w:type="dxa"/>
              <w:bottom w:w="100" w:type="dxa"/>
              <w:right w:w="100" w:type="dxa"/>
            </w:tcMar>
            <w:vAlign w:val="center"/>
          </w:tcPr>
          <w:p w14:paraId="17099457" w14:textId="77777777" w:rsidR="00337DEE" w:rsidRDefault="009B4601">
            <w:pPr>
              <w:widowControl w:val="0"/>
              <w:spacing w:line="240" w:lineRule="auto"/>
              <w:jc w:val="center"/>
            </w:pPr>
            <w:r>
              <w:t>0.661</w:t>
            </w:r>
          </w:p>
        </w:tc>
      </w:tr>
    </w:tbl>
    <w:p w14:paraId="5CE17609" w14:textId="77777777" w:rsidR="00337DEE" w:rsidRDefault="00337DEE">
      <w:pPr>
        <w:widowControl w:val="0"/>
        <w:spacing w:before="240" w:after="240" w:line="240" w:lineRule="auto"/>
        <w:jc w:val="both"/>
        <w:rPr>
          <w:b/>
        </w:rPr>
      </w:pPr>
    </w:p>
    <w:p w14:paraId="6C19B432" w14:textId="1AA33737" w:rsidR="00337DEE" w:rsidRDefault="009B4601" w:rsidP="005E5196">
      <w:pPr>
        <w:widowControl w:val="0"/>
        <w:spacing w:after="240" w:line="240" w:lineRule="auto"/>
        <w:jc w:val="both"/>
      </w:pPr>
      <w:r>
        <w:rPr>
          <w:b/>
        </w:rPr>
        <w:t xml:space="preserve">Table </w:t>
      </w:r>
      <w:r w:rsidR="008E1BE5">
        <w:rPr>
          <w:b/>
        </w:rPr>
        <w:t>A</w:t>
      </w:r>
      <w:r>
        <w:rPr>
          <w:b/>
        </w:rPr>
        <w:t xml:space="preserve"> | Heritability estimates for mean cell area and variance of cell area in both subcutaneous and visceral adipose tissue.</w:t>
      </w:r>
      <w:r>
        <w:t xml:space="preserve"> We used GCTA to estimate heritability in our largest cohort (</w:t>
      </w:r>
      <w:proofErr w:type="spellStart"/>
      <w:r>
        <w:t>GTEx</w:t>
      </w:r>
      <w:proofErr w:type="spellEnd"/>
      <w:r>
        <w:t>). Results indicate that these cell morphology phenotypes are likely heritable. However, the errors are large, indicating that larger samples will be necessary to more accurately estimate heritability in these phenotypes.</w:t>
      </w:r>
    </w:p>
    <w:sectPr w:rsidR="00337DE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DEE"/>
    <w:rsid w:val="002461A1"/>
    <w:rsid w:val="00337DEE"/>
    <w:rsid w:val="003B5F9C"/>
    <w:rsid w:val="005E5196"/>
    <w:rsid w:val="008E1BE5"/>
    <w:rsid w:val="009B46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C8DB7AA"/>
  <w15:docId w15:val="{B649B443-64A1-5348-B197-A6C524607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E5196"/>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E519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hyperlink" Target="https://www.codecogs.com/eqnedit.php?latex=%5Cgeq" TargetMode="Externa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hyperlink" Target="https://www.codecogs.com/eqnedit.php?latex=%5Cmu%20m%250" TargetMode="External"/><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817</Words>
  <Characters>4657</Characters>
  <Application>Microsoft Office Word</Application>
  <DocSecurity>0</DocSecurity>
  <Lines>38</Lines>
  <Paragraphs>10</Paragraphs>
  <ScaleCrop>false</ScaleCrop>
  <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Craig Glastonbury</cp:lastModifiedBy>
  <cp:revision>3</cp:revision>
  <dcterms:created xsi:type="dcterms:W3CDTF">2020-07-11T11:08:00Z</dcterms:created>
  <dcterms:modified xsi:type="dcterms:W3CDTF">2020-07-13T13:56:00Z</dcterms:modified>
</cp:coreProperties>
</file>