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51" w:rsidRPr="00FC5D51" w:rsidRDefault="00FC5D51" w:rsidP="00FC5D51">
      <w:pPr>
        <w:spacing w:after="120"/>
        <w:rPr>
          <w:b/>
        </w:rPr>
      </w:pPr>
      <w:r>
        <w:rPr>
          <w:b/>
        </w:rPr>
        <w:t xml:space="preserve">S4 </w:t>
      </w:r>
      <w:r w:rsidRPr="006D3CF7">
        <w:rPr>
          <w:b/>
        </w:rPr>
        <w:t xml:space="preserve">Table. GO analysis of the myeloid </w:t>
      </w:r>
      <w:r>
        <w:rPr>
          <w:b/>
        </w:rPr>
        <w:t>cell differentiation sub</w:t>
      </w:r>
      <w:r w:rsidRPr="006D3CF7">
        <w:rPr>
          <w:b/>
        </w:rPr>
        <w:t>network.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4590"/>
        <w:gridCol w:w="810"/>
        <w:gridCol w:w="720"/>
        <w:gridCol w:w="810"/>
        <w:gridCol w:w="1165"/>
      </w:tblGrid>
      <w:tr w:rsidR="006D3CF7" w:rsidTr="00FC5D51"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GO ID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GO Term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# GO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# Net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# Exp.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P-Value</w:t>
            </w:r>
          </w:p>
        </w:tc>
      </w:tr>
      <w:tr w:rsidR="006D3CF7" w:rsidTr="00FC5D51">
        <w:tc>
          <w:tcPr>
            <w:tcW w:w="1255" w:type="dxa"/>
            <w:tcBorders>
              <w:top w:val="single" w:sz="4" w:space="0" w:color="auto"/>
            </w:tcBorders>
            <w:tcMar>
              <w:top w:w="86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GO:0030099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tcMar>
              <w:top w:w="86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myeloid cell differentiation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top w:w="86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221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top w:w="86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top w:w="86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0.36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tcMar>
              <w:top w:w="86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6.80</w:t>
            </w:r>
            <w:r>
              <w:rPr>
                <w:sz w:val="20"/>
                <w:szCs w:val="20"/>
              </w:rPr>
              <w:t xml:space="preserve"> × 10</w:t>
            </w:r>
            <w:r w:rsidRPr="00AD3F79">
              <w:rPr>
                <w:sz w:val="20"/>
                <w:szCs w:val="20"/>
                <w:vertAlign w:val="superscript"/>
              </w:rPr>
              <w:t>-10</w:t>
            </w:r>
          </w:p>
        </w:tc>
      </w:tr>
      <w:tr w:rsidR="006D3CF7" w:rsidTr="00FC5D51">
        <w:tc>
          <w:tcPr>
            <w:tcW w:w="12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GO:0030097</w:t>
            </w:r>
          </w:p>
        </w:tc>
        <w:tc>
          <w:tcPr>
            <w:tcW w:w="45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proofErr w:type="spellStart"/>
            <w:r w:rsidRPr="00AD3F79">
              <w:rPr>
                <w:sz w:val="20"/>
                <w:szCs w:val="20"/>
              </w:rPr>
              <w:t>hemopoiesis</w:t>
            </w:r>
            <w:proofErr w:type="spellEnd"/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401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0.66</w:t>
            </w:r>
          </w:p>
        </w:tc>
        <w:tc>
          <w:tcPr>
            <w:tcW w:w="11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7.40</w:t>
            </w:r>
            <w:r>
              <w:rPr>
                <w:sz w:val="20"/>
                <w:szCs w:val="20"/>
              </w:rPr>
              <w:t xml:space="preserve"> × 10</w:t>
            </w:r>
            <w:r>
              <w:rPr>
                <w:sz w:val="20"/>
                <w:szCs w:val="20"/>
                <w:vertAlign w:val="superscript"/>
              </w:rPr>
              <w:t>-8</w:t>
            </w:r>
          </w:p>
        </w:tc>
      </w:tr>
      <w:tr w:rsidR="006D3CF7" w:rsidTr="00FC5D51">
        <w:tc>
          <w:tcPr>
            <w:tcW w:w="12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GO:0048534</w:t>
            </w:r>
          </w:p>
        </w:tc>
        <w:tc>
          <w:tcPr>
            <w:tcW w:w="45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hematopoietic or lymphoid organ development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417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0.68</w:t>
            </w:r>
          </w:p>
        </w:tc>
        <w:tc>
          <w:tcPr>
            <w:tcW w:w="11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1.00</w:t>
            </w:r>
            <w:r>
              <w:rPr>
                <w:sz w:val="20"/>
                <w:szCs w:val="20"/>
              </w:rPr>
              <w:t xml:space="preserve"> × 10</w:t>
            </w:r>
            <w:r w:rsidRPr="00AD3F79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6D3CF7" w:rsidTr="00FC5D51">
        <w:tc>
          <w:tcPr>
            <w:tcW w:w="12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GO:0007260</w:t>
            </w:r>
          </w:p>
        </w:tc>
        <w:tc>
          <w:tcPr>
            <w:tcW w:w="45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tyrosine phosphorylation of STAT protein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0.05</w:t>
            </w:r>
          </w:p>
        </w:tc>
        <w:tc>
          <w:tcPr>
            <w:tcW w:w="11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1.50</w:t>
            </w:r>
            <w:r>
              <w:rPr>
                <w:sz w:val="20"/>
                <w:szCs w:val="20"/>
              </w:rPr>
              <w:t xml:space="preserve"> × 10</w:t>
            </w:r>
            <w:r w:rsidRPr="00AD3F79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6D3CF7" w:rsidTr="00FC5D51">
        <w:tc>
          <w:tcPr>
            <w:tcW w:w="12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GO:0002520</w:t>
            </w:r>
          </w:p>
        </w:tc>
        <w:tc>
          <w:tcPr>
            <w:tcW w:w="45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immune system development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443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0.73</w:t>
            </w:r>
          </w:p>
        </w:tc>
        <w:tc>
          <w:tcPr>
            <w:tcW w:w="11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1.60</w:t>
            </w:r>
            <w:r>
              <w:rPr>
                <w:sz w:val="20"/>
                <w:szCs w:val="20"/>
              </w:rPr>
              <w:t xml:space="preserve"> × 10</w:t>
            </w:r>
            <w:r w:rsidRPr="00AD3F79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6D3CF7" w:rsidTr="00FC5D51">
        <w:tc>
          <w:tcPr>
            <w:tcW w:w="12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GO:0018108</w:t>
            </w:r>
          </w:p>
        </w:tc>
        <w:tc>
          <w:tcPr>
            <w:tcW w:w="45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peptidyl-tyrosine phosphorylation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192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0.32</w:t>
            </w:r>
          </w:p>
        </w:tc>
        <w:tc>
          <w:tcPr>
            <w:tcW w:w="11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3.70</w:t>
            </w:r>
            <w:r>
              <w:rPr>
                <w:sz w:val="20"/>
                <w:szCs w:val="20"/>
              </w:rPr>
              <w:t xml:space="preserve"> × 10</w:t>
            </w:r>
            <w:r w:rsidRPr="00AD3F79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6D3CF7" w:rsidTr="00FC5D51">
        <w:tc>
          <w:tcPr>
            <w:tcW w:w="12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GO:0018212</w:t>
            </w:r>
          </w:p>
        </w:tc>
        <w:tc>
          <w:tcPr>
            <w:tcW w:w="45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peptidyl-tyrosine modification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195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0.32</w:t>
            </w:r>
          </w:p>
        </w:tc>
        <w:tc>
          <w:tcPr>
            <w:tcW w:w="11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4.00</w:t>
            </w:r>
            <w:r>
              <w:rPr>
                <w:sz w:val="20"/>
                <w:szCs w:val="20"/>
              </w:rPr>
              <w:t xml:space="preserve"> × 10</w:t>
            </w:r>
            <w:r w:rsidRPr="00AD3F79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6D3CF7" w:rsidTr="00FC5D51">
        <w:tc>
          <w:tcPr>
            <w:tcW w:w="12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GO:1903706</w:t>
            </w:r>
          </w:p>
        </w:tc>
        <w:tc>
          <w:tcPr>
            <w:tcW w:w="45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 xml:space="preserve">regulation of </w:t>
            </w:r>
            <w:proofErr w:type="spellStart"/>
            <w:r w:rsidRPr="00AD3F79">
              <w:rPr>
                <w:sz w:val="20"/>
                <w:szCs w:val="20"/>
              </w:rPr>
              <w:t>hemopoiesis</w:t>
            </w:r>
            <w:proofErr w:type="spellEnd"/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207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0.34</w:t>
            </w:r>
          </w:p>
        </w:tc>
        <w:tc>
          <w:tcPr>
            <w:tcW w:w="11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5.70</w:t>
            </w:r>
            <w:r>
              <w:rPr>
                <w:sz w:val="20"/>
                <w:szCs w:val="20"/>
              </w:rPr>
              <w:t xml:space="preserve"> × 10</w:t>
            </w:r>
            <w:r w:rsidRPr="00AD3F79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6D3CF7" w:rsidTr="00FC5D51">
        <w:tc>
          <w:tcPr>
            <w:tcW w:w="12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GO:0002521</w:t>
            </w:r>
          </w:p>
        </w:tc>
        <w:tc>
          <w:tcPr>
            <w:tcW w:w="45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leukocyte differentiation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218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0.36</w:t>
            </w:r>
          </w:p>
        </w:tc>
        <w:tc>
          <w:tcPr>
            <w:tcW w:w="11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7.80</w:t>
            </w:r>
            <w:r>
              <w:rPr>
                <w:sz w:val="20"/>
                <w:szCs w:val="20"/>
              </w:rPr>
              <w:t xml:space="preserve"> × 10</w:t>
            </w:r>
            <w:r w:rsidRPr="00AD3F79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6D3CF7" w:rsidTr="00FC5D51">
        <w:tc>
          <w:tcPr>
            <w:tcW w:w="12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GO:1902105</w:t>
            </w:r>
          </w:p>
        </w:tc>
        <w:tc>
          <w:tcPr>
            <w:tcW w:w="45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regulation of leukocyte differentiation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115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0.19</w:t>
            </w:r>
          </w:p>
        </w:tc>
        <w:tc>
          <w:tcPr>
            <w:tcW w:w="11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8.30</w:t>
            </w:r>
            <w:r>
              <w:rPr>
                <w:sz w:val="20"/>
                <w:szCs w:val="20"/>
              </w:rPr>
              <w:t xml:space="preserve"> × 10</w:t>
            </w:r>
            <w:r w:rsidRPr="00AD3F79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6D3CF7" w:rsidTr="00FC5D51">
        <w:tc>
          <w:tcPr>
            <w:tcW w:w="12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GO:0046425</w:t>
            </w:r>
          </w:p>
        </w:tc>
        <w:tc>
          <w:tcPr>
            <w:tcW w:w="45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regulation of JAK-STAT cascade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0.08</w:t>
            </w:r>
          </w:p>
        </w:tc>
        <w:tc>
          <w:tcPr>
            <w:tcW w:w="11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1.10</w:t>
            </w:r>
            <w:r>
              <w:rPr>
                <w:sz w:val="20"/>
                <w:szCs w:val="20"/>
              </w:rPr>
              <w:t xml:space="preserve"> × 10</w:t>
            </w:r>
            <w:r w:rsidRPr="00AD3F79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6D3CF7" w:rsidTr="00FC5D51">
        <w:tc>
          <w:tcPr>
            <w:tcW w:w="12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GO:1904892</w:t>
            </w:r>
          </w:p>
        </w:tc>
        <w:tc>
          <w:tcPr>
            <w:tcW w:w="45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regulation of STAT cascade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0.09</w:t>
            </w:r>
          </w:p>
        </w:tc>
        <w:tc>
          <w:tcPr>
            <w:tcW w:w="11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1.30</w:t>
            </w:r>
            <w:r>
              <w:rPr>
                <w:sz w:val="20"/>
                <w:szCs w:val="20"/>
              </w:rPr>
              <w:t xml:space="preserve"> × 10</w:t>
            </w:r>
            <w:r w:rsidRPr="00AD3F79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6D3CF7" w:rsidTr="00FC5D51">
        <w:tc>
          <w:tcPr>
            <w:tcW w:w="12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GO:0071310</w:t>
            </w:r>
          </w:p>
        </w:tc>
        <w:tc>
          <w:tcPr>
            <w:tcW w:w="45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cellular response to organic substance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1419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2.33</w:t>
            </w:r>
          </w:p>
        </w:tc>
        <w:tc>
          <w:tcPr>
            <w:tcW w:w="11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1.30</w:t>
            </w:r>
            <w:r>
              <w:rPr>
                <w:sz w:val="20"/>
                <w:szCs w:val="20"/>
              </w:rPr>
              <w:t xml:space="preserve"> × 10</w:t>
            </w:r>
            <w:r w:rsidRPr="00AD3F79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6D3CF7" w:rsidTr="00FC5D51">
        <w:tc>
          <w:tcPr>
            <w:tcW w:w="12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GO:0031295</w:t>
            </w:r>
          </w:p>
        </w:tc>
        <w:tc>
          <w:tcPr>
            <w:tcW w:w="45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 xml:space="preserve">T cell </w:t>
            </w:r>
            <w:proofErr w:type="spellStart"/>
            <w:r w:rsidRPr="00AD3F79">
              <w:rPr>
                <w:sz w:val="20"/>
                <w:szCs w:val="20"/>
              </w:rPr>
              <w:t>costimulation</w:t>
            </w:r>
            <w:proofErr w:type="spellEnd"/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0.03</w:t>
            </w:r>
          </w:p>
        </w:tc>
        <w:tc>
          <w:tcPr>
            <w:tcW w:w="11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2.40</w:t>
            </w:r>
            <w:r>
              <w:rPr>
                <w:sz w:val="20"/>
                <w:szCs w:val="20"/>
              </w:rPr>
              <w:t xml:space="preserve"> × 10</w:t>
            </w:r>
            <w:r w:rsidRPr="00AD3F79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6D3CF7" w:rsidTr="00FC5D51">
        <w:tc>
          <w:tcPr>
            <w:tcW w:w="12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GO:0007259</w:t>
            </w:r>
          </w:p>
        </w:tc>
        <w:tc>
          <w:tcPr>
            <w:tcW w:w="45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JAK-STAT cascade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64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0.11</w:t>
            </w:r>
          </w:p>
        </w:tc>
        <w:tc>
          <w:tcPr>
            <w:tcW w:w="11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2.90</w:t>
            </w:r>
            <w:r>
              <w:rPr>
                <w:sz w:val="20"/>
                <w:szCs w:val="20"/>
              </w:rPr>
              <w:t xml:space="preserve"> × 10</w:t>
            </w:r>
            <w:r w:rsidRPr="00AD3F79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6D3CF7" w:rsidTr="00FC5D51">
        <w:tc>
          <w:tcPr>
            <w:tcW w:w="12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GO:0031294</w:t>
            </w:r>
          </w:p>
        </w:tc>
        <w:tc>
          <w:tcPr>
            <w:tcW w:w="45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 xml:space="preserve">lymphocyte </w:t>
            </w:r>
            <w:proofErr w:type="spellStart"/>
            <w:r w:rsidRPr="00AD3F79">
              <w:rPr>
                <w:sz w:val="20"/>
                <w:szCs w:val="20"/>
              </w:rPr>
              <w:t>costimulation</w:t>
            </w:r>
            <w:proofErr w:type="spellEnd"/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0.03</w:t>
            </w:r>
          </w:p>
        </w:tc>
        <w:tc>
          <w:tcPr>
            <w:tcW w:w="11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2.90</w:t>
            </w:r>
            <w:r>
              <w:rPr>
                <w:sz w:val="20"/>
                <w:szCs w:val="20"/>
              </w:rPr>
              <w:t xml:space="preserve"> × 10</w:t>
            </w:r>
            <w:r w:rsidRPr="00AD3F79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6D3CF7" w:rsidTr="00FC5D51">
        <w:tc>
          <w:tcPr>
            <w:tcW w:w="12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GO:0002684</w:t>
            </w:r>
          </w:p>
        </w:tc>
        <w:tc>
          <w:tcPr>
            <w:tcW w:w="45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positive regulation of immune system process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447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0.73</w:t>
            </w:r>
          </w:p>
        </w:tc>
        <w:tc>
          <w:tcPr>
            <w:tcW w:w="11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3.30</w:t>
            </w:r>
            <w:r>
              <w:rPr>
                <w:sz w:val="20"/>
                <w:szCs w:val="20"/>
              </w:rPr>
              <w:t xml:space="preserve"> × 10</w:t>
            </w:r>
            <w:r w:rsidRPr="00AD3F79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6D3CF7" w:rsidTr="00FC5D51">
        <w:tc>
          <w:tcPr>
            <w:tcW w:w="12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GO:0097696</w:t>
            </w:r>
          </w:p>
        </w:tc>
        <w:tc>
          <w:tcPr>
            <w:tcW w:w="45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STAT cascade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66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0.11</w:t>
            </w:r>
          </w:p>
        </w:tc>
        <w:tc>
          <w:tcPr>
            <w:tcW w:w="11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3.30</w:t>
            </w:r>
            <w:r>
              <w:rPr>
                <w:sz w:val="20"/>
                <w:szCs w:val="20"/>
              </w:rPr>
              <w:t xml:space="preserve"> × 10</w:t>
            </w:r>
            <w:r w:rsidRPr="00AD3F79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6D3CF7" w:rsidTr="00FC5D51">
        <w:tc>
          <w:tcPr>
            <w:tcW w:w="12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GO:0001817</w:t>
            </w:r>
          </w:p>
        </w:tc>
        <w:tc>
          <w:tcPr>
            <w:tcW w:w="45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regulation of cytokine production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291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0.48</w:t>
            </w:r>
          </w:p>
        </w:tc>
        <w:tc>
          <w:tcPr>
            <w:tcW w:w="11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4.20</w:t>
            </w:r>
            <w:r>
              <w:rPr>
                <w:sz w:val="20"/>
                <w:szCs w:val="20"/>
              </w:rPr>
              <w:t xml:space="preserve"> × 10</w:t>
            </w:r>
            <w:r w:rsidRPr="00AD3F79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6D3CF7" w:rsidTr="00FC5D51">
        <w:tc>
          <w:tcPr>
            <w:tcW w:w="1255" w:type="dxa"/>
            <w:tcMar>
              <w:top w:w="29" w:type="dxa"/>
              <w:left w:w="115" w:type="dxa"/>
              <w:bottom w:w="86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GO:0030225</w:t>
            </w:r>
          </w:p>
        </w:tc>
        <w:tc>
          <w:tcPr>
            <w:tcW w:w="4590" w:type="dxa"/>
            <w:tcMar>
              <w:top w:w="29" w:type="dxa"/>
              <w:left w:w="115" w:type="dxa"/>
              <w:bottom w:w="86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macrophage differentiation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86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Mar>
              <w:top w:w="29" w:type="dxa"/>
              <w:left w:w="115" w:type="dxa"/>
              <w:bottom w:w="86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Mar>
              <w:top w:w="29" w:type="dxa"/>
              <w:left w:w="115" w:type="dxa"/>
              <w:bottom w:w="86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0.04</w:t>
            </w:r>
          </w:p>
        </w:tc>
        <w:tc>
          <w:tcPr>
            <w:tcW w:w="1165" w:type="dxa"/>
            <w:tcMar>
              <w:top w:w="29" w:type="dxa"/>
              <w:left w:w="115" w:type="dxa"/>
              <w:bottom w:w="86" w:type="dxa"/>
              <w:right w:w="115" w:type="dxa"/>
            </w:tcMar>
          </w:tcPr>
          <w:p w:rsidR="00AD3F79" w:rsidRPr="00AD3F79" w:rsidRDefault="00AD3F79" w:rsidP="00FC5D51">
            <w:pPr>
              <w:rPr>
                <w:sz w:val="20"/>
                <w:szCs w:val="20"/>
              </w:rPr>
            </w:pPr>
            <w:r w:rsidRPr="00AD3F79">
              <w:rPr>
                <w:sz w:val="20"/>
                <w:szCs w:val="20"/>
              </w:rPr>
              <w:t>5.50</w:t>
            </w:r>
            <w:r>
              <w:rPr>
                <w:sz w:val="20"/>
                <w:szCs w:val="20"/>
              </w:rPr>
              <w:t xml:space="preserve"> × 10</w:t>
            </w:r>
            <w:r w:rsidRPr="00AD3F79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</w:tbl>
    <w:p w:rsidR="006F46AB" w:rsidRPr="006F46AB" w:rsidRDefault="006F46AB" w:rsidP="00FC5D51">
      <w:pPr>
        <w:spacing w:before="120" w:after="0"/>
      </w:pPr>
      <w:r>
        <w:t>The first two columns show GO IDs and the respective</w:t>
      </w:r>
      <w:r w:rsidR="00FC5D51">
        <w:t xml:space="preserve"> GO</w:t>
      </w:r>
      <w:r>
        <w:t xml:space="preserve"> terms. The third column </w:t>
      </w:r>
      <w:r w:rsidR="00FC5D51">
        <w:t>shows</w:t>
      </w:r>
      <w:r>
        <w:t xml:space="preserve"> the total number of genes in our analysis that </w:t>
      </w:r>
      <w:r w:rsidR="00FC5D51">
        <w:t>were</w:t>
      </w:r>
      <w:r>
        <w:t xml:space="preserve"> associated with the GO term. Columns four and five </w:t>
      </w:r>
      <w:r w:rsidR="00FC5D51">
        <w:t>show the observed and expected number of genes in the subnetwork that were associated with the GO term. The last column shows the unadjusted enrichment p-value. Th</w:t>
      </w:r>
      <w:bookmarkStart w:id="0" w:name="_GoBack"/>
      <w:bookmarkEnd w:id="0"/>
      <w:r w:rsidR="00FC5D51">
        <w:t>e top 20 GO terms sorted by p-value are shown.</w:t>
      </w:r>
    </w:p>
    <w:sectPr w:rsidR="006F46AB" w:rsidRPr="006F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79"/>
    <w:rsid w:val="00551445"/>
    <w:rsid w:val="00591C1A"/>
    <w:rsid w:val="006D3CF7"/>
    <w:rsid w:val="006F46AB"/>
    <w:rsid w:val="00AD3F79"/>
    <w:rsid w:val="00C05D84"/>
    <w:rsid w:val="00E36702"/>
    <w:rsid w:val="00F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1116"/>
  <w15:chartTrackingRefBased/>
  <w15:docId w15:val="{CA8E1D66-8316-42E2-ADCA-0255347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Klein</dc:creator>
  <cp:keywords/>
  <dc:description/>
  <cp:lastModifiedBy>Hans Klein</cp:lastModifiedBy>
  <cp:revision>3</cp:revision>
  <dcterms:created xsi:type="dcterms:W3CDTF">2019-05-06T19:57:00Z</dcterms:created>
  <dcterms:modified xsi:type="dcterms:W3CDTF">2019-05-28T21:02:00Z</dcterms:modified>
</cp:coreProperties>
</file>