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A82D3" w14:textId="77777777" w:rsidR="000B02CD" w:rsidRPr="0011431F" w:rsidRDefault="000B02CD" w:rsidP="000B02CD">
      <w:pPr>
        <w:spacing w:line="480" w:lineRule="auto"/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Table S10</w:t>
      </w:r>
      <w:r w:rsidRPr="0011431F">
        <w:rPr>
          <w:b/>
          <w:bCs/>
          <w:noProof w:val="0"/>
          <w:sz w:val="24"/>
          <w:szCs w:val="24"/>
        </w:rPr>
        <w:t xml:space="preserve">: Variant-level quality metrics of </w:t>
      </w:r>
      <w:r>
        <w:rPr>
          <w:b/>
          <w:bCs/>
          <w:noProof w:val="0"/>
          <w:sz w:val="24"/>
          <w:szCs w:val="24"/>
        </w:rPr>
        <w:t>high-quality</w:t>
      </w:r>
      <w:r w:rsidRPr="0011431F">
        <w:rPr>
          <w:b/>
          <w:bCs/>
          <w:noProof w:val="0"/>
          <w:sz w:val="24"/>
          <w:szCs w:val="24"/>
        </w:rPr>
        <w:t xml:space="preserve"> variants identified from </w:t>
      </w:r>
      <w:r>
        <w:rPr>
          <w:b/>
          <w:bCs/>
          <w:noProof w:val="0"/>
          <w:sz w:val="24"/>
          <w:szCs w:val="24"/>
        </w:rPr>
        <w:t>undetermined</w:t>
      </w:r>
      <w:r w:rsidRPr="0011431F">
        <w:rPr>
          <w:b/>
          <w:bCs/>
          <w:noProof w:val="0"/>
          <w:sz w:val="24"/>
          <w:szCs w:val="24"/>
        </w:rPr>
        <w:t xml:space="preserve"> variants in the PSP dataset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620"/>
        <w:gridCol w:w="1530"/>
        <w:gridCol w:w="1458"/>
        <w:gridCol w:w="1422"/>
      </w:tblGrid>
      <w:tr w:rsidR="000B02CD" w:rsidRPr="00B675EE" w14:paraId="233665CE" w14:textId="77777777" w:rsidTr="00A82B3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F69975F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  <w:lang w:eastAsia="zh-CN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  <w:lang w:eastAsia="zh-CN"/>
              </w:rPr>
              <w:t>Metric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E0E343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No QC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7B73AF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ABHet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5111BB18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VQSR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435C3D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ForestQC</w:t>
            </w:r>
            <w:proofErr w:type="spellEnd"/>
          </w:p>
        </w:tc>
      </w:tr>
      <w:tr w:rsidR="000B02CD" w:rsidRPr="00B675EE" w14:paraId="7B05A9CC" w14:textId="77777777" w:rsidTr="00A82B3B">
        <w:tc>
          <w:tcPr>
            <w:tcW w:w="3330" w:type="dxa"/>
            <w:tcBorders>
              <w:top w:val="single" w:sz="4" w:space="0" w:color="auto"/>
            </w:tcBorders>
          </w:tcPr>
          <w:p w14:paraId="78EC5AE9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Total SNVs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E689D00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3950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E5BC25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868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13A9BE8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2746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355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07BDE2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1711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698</w:t>
            </w:r>
          </w:p>
        </w:tc>
      </w:tr>
      <w:tr w:rsidR="000B02CD" w:rsidRPr="00B675EE" w14:paraId="5B28F0B2" w14:textId="77777777" w:rsidTr="00A82B3B">
        <w:tc>
          <w:tcPr>
            <w:tcW w:w="3330" w:type="dxa"/>
          </w:tcPr>
          <w:p w14:paraId="234FE315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Known SNVs</w:t>
            </w:r>
          </w:p>
        </w:tc>
        <w:tc>
          <w:tcPr>
            <w:tcW w:w="1620" w:type="dxa"/>
          </w:tcPr>
          <w:p w14:paraId="4AC76CB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2270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658</w:t>
            </w:r>
          </w:p>
        </w:tc>
        <w:tc>
          <w:tcPr>
            <w:tcW w:w="1530" w:type="dxa"/>
          </w:tcPr>
          <w:p w14:paraId="5FA2FC14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655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</w:tc>
        <w:tc>
          <w:tcPr>
            <w:tcW w:w="1458" w:type="dxa"/>
          </w:tcPr>
          <w:p w14:paraId="0AAD634F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1748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918</w:t>
            </w:r>
          </w:p>
        </w:tc>
        <w:tc>
          <w:tcPr>
            <w:tcW w:w="1422" w:type="dxa"/>
          </w:tcPr>
          <w:p w14:paraId="38C7919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1103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937</w:t>
            </w:r>
          </w:p>
        </w:tc>
      </w:tr>
      <w:tr w:rsidR="000B02CD" w:rsidRPr="00B675EE" w14:paraId="15139743" w14:textId="77777777" w:rsidTr="00A82B3B">
        <w:tc>
          <w:tcPr>
            <w:tcW w:w="3330" w:type="dxa"/>
          </w:tcPr>
          <w:p w14:paraId="4CA6C843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Known SNVs (%)</w:t>
            </w:r>
          </w:p>
        </w:tc>
        <w:tc>
          <w:tcPr>
            <w:tcW w:w="1620" w:type="dxa"/>
          </w:tcPr>
          <w:p w14:paraId="355D85E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57.48%</w:t>
            </w:r>
          </w:p>
        </w:tc>
        <w:tc>
          <w:tcPr>
            <w:tcW w:w="1530" w:type="dxa"/>
          </w:tcPr>
          <w:p w14:paraId="5FE61D3F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84.01%</w:t>
            </w:r>
          </w:p>
        </w:tc>
        <w:tc>
          <w:tcPr>
            <w:tcW w:w="1458" w:type="dxa"/>
          </w:tcPr>
          <w:p w14:paraId="19FCD42E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63.68%</w:t>
            </w:r>
          </w:p>
        </w:tc>
        <w:tc>
          <w:tcPr>
            <w:tcW w:w="1422" w:type="dxa"/>
          </w:tcPr>
          <w:p w14:paraId="13649778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64.49%</w:t>
            </w:r>
          </w:p>
        </w:tc>
      </w:tr>
      <w:tr w:rsidR="000B02CD" w:rsidRPr="00B675EE" w14:paraId="4C8B1F0F" w14:textId="77777777" w:rsidTr="00A82B3B">
        <w:tc>
          <w:tcPr>
            <w:tcW w:w="3330" w:type="dxa"/>
          </w:tcPr>
          <w:p w14:paraId="2B9E8F73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Novel SNVs</w:t>
            </w:r>
          </w:p>
        </w:tc>
        <w:tc>
          <w:tcPr>
            <w:tcW w:w="1620" w:type="dxa"/>
          </w:tcPr>
          <w:p w14:paraId="7CF20BC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1679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647</w:t>
            </w:r>
          </w:p>
        </w:tc>
        <w:tc>
          <w:tcPr>
            <w:tcW w:w="1530" w:type="dxa"/>
          </w:tcPr>
          <w:p w14:paraId="6CBA21A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720</w:t>
            </w:r>
          </w:p>
        </w:tc>
        <w:tc>
          <w:tcPr>
            <w:tcW w:w="1458" w:type="dxa"/>
          </w:tcPr>
          <w:p w14:paraId="3BA9565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437</w:t>
            </w:r>
          </w:p>
        </w:tc>
        <w:tc>
          <w:tcPr>
            <w:tcW w:w="1422" w:type="dxa"/>
          </w:tcPr>
          <w:p w14:paraId="6A61FF4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761</w:t>
            </w:r>
          </w:p>
        </w:tc>
      </w:tr>
      <w:tr w:rsidR="000B02CD" w:rsidRPr="00B675EE" w14:paraId="236314D3" w14:textId="77777777" w:rsidTr="00A82B3B">
        <w:tc>
          <w:tcPr>
            <w:tcW w:w="3330" w:type="dxa"/>
          </w:tcPr>
          <w:p w14:paraId="10335B3E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Novel SNVs (%)</w:t>
            </w:r>
          </w:p>
        </w:tc>
        <w:tc>
          <w:tcPr>
            <w:tcW w:w="1620" w:type="dxa"/>
          </w:tcPr>
          <w:p w14:paraId="1D40165E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42.52%</w:t>
            </w:r>
          </w:p>
        </w:tc>
        <w:tc>
          <w:tcPr>
            <w:tcW w:w="1530" w:type="dxa"/>
          </w:tcPr>
          <w:p w14:paraId="3EA6DA8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15.99%</w:t>
            </w:r>
          </w:p>
        </w:tc>
        <w:tc>
          <w:tcPr>
            <w:tcW w:w="1458" w:type="dxa"/>
          </w:tcPr>
          <w:p w14:paraId="22197635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36.32%</w:t>
            </w:r>
          </w:p>
        </w:tc>
        <w:tc>
          <w:tcPr>
            <w:tcW w:w="1422" w:type="dxa"/>
          </w:tcPr>
          <w:p w14:paraId="45D8A5F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35.51%</w:t>
            </w:r>
          </w:p>
        </w:tc>
      </w:tr>
      <w:tr w:rsidR="000B02CD" w:rsidRPr="00B675EE" w14:paraId="72987F7E" w14:textId="77777777" w:rsidTr="00A82B3B">
        <w:tc>
          <w:tcPr>
            <w:tcW w:w="3330" w:type="dxa"/>
          </w:tcPr>
          <w:p w14:paraId="2B22A950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Known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Ti</w:t>
            </w:r>
            <w:proofErr w:type="spellEnd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/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620" w:type="dxa"/>
          </w:tcPr>
          <w:p w14:paraId="6BC6208D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1.6060</w:t>
            </w:r>
          </w:p>
        </w:tc>
        <w:tc>
          <w:tcPr>
            <w:tcW w:w="1530" w:type="dxa"/>
          </w:tcPr>
          <w:p w14:paraId="2ADBADCC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1.8441</w:t>
            </w:r>
          </w:p>
        </w:tc>
        <w:tc>
          <w:tcPr>
            <w:tcW w:w="1458" w:type="dxa"/>
          </w:tcPr>
          <w:p w14:paraId="48A7263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1.7801</w:t>
            </w:r>
          </w:p>
        </w:tc>
        <w:tc>
          <w:tcPr>
            <w:tcW w:w="1422" w:type="dxa"/>
          </w:tcPr>
          <w:p w14:paraId="4F7264F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1.9336</w:t>
            </w:r>
          </w:p>
        </w:tc>
      </w:tr>
      <w:tr w:rsidR="000B02CD" w:rsidRPr="00B675EE" w14:paraId="0BEBA2A9" w14:textId="77777777" w:rsidTr="00A82B3B">
        <w:tc>
          <w:tcPr>
            <w:tcW w:w="3330" w:type="dxa"/>
          </w:tcPr>
          <w:p w14:paraId="5F5FF936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Novel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Ti</w:t>
            </w:r>
            <w:proofErr w:type="spellEnd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/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620" w:type="dxa"/>
          </w:tcPr>
          <w:p w14:paraId="7FE870F1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1.1726</w:t>
            </w:r>
          </w:p>
        </w:tc>
        <w:tc>
          <w:tcPr>
            <w:tcW w:w="1530" w:type="dxa"/>
          </w:tcPr>
          <w:p w14:paraId="1341D61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1.2524</w:t>
            </w:r>
          </w:p>
        </w:tc>
        <w:tc>
          <w:tcPr>
            <w:tcW w:w="1458" w:type="dxa"/>
          </w:tcPr>
          <w:p w14:paraId="5FBE4894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1.2178</w:t>
            </w:r>
          </w:p>
        </w:tc>
        <w:tc>
          <w:tcPr>
            <w:tcW w:w="1422" w:type="dxa"/>
          </w:tcPr>
          <w:p w14:paraId="21F34004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1.4236</w:t>
            </w:r>
          </w:p>
        </w:tc>
      </w:tr>
      <w:tr w:rsidR="000B02CD" w:rsidRPr="00B675EE" w14:paraId="057CD849" w14:textId="77777777" w:rsidTr="00A82B3B">
        <w:tc>
          <w:tcPr>
            <w:tcW w:w="3330" w:type="dxa"/>
          </w:tcPr>
          <w:p w14:paraId="69CBF2A0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Total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620" w:type="dxa"/>
          </w:tcPr>
          <w:p w14:paraId="5027DE08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1596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418</w:t>
            </w:r>
          </w:p>
        </w:tc>
        <w:tc>
          <w:tcPr>
            <w:tcW w:w="1530" w:type="dxa"/>
          </w:tcPr>
          <w:p w14:paraId="247DC70E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622</w:t>
            </w:r>
          </w:p>
        </w:tc>
        <w:tc>
          <w:tcPr>
            <w:tcW w:w="1458" w:type="dxa"/>
          </w:tcPr>
          <w:p w14:paraId="084A1804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608</w:t>
            </w:r>
          </w:p>
        </w:tc>
        <w:tc>
          <w:tcPr>
            <w:tcW w:w="1422" w:type="dxa"/>
          </w:tcPr>
          <w:p w14:paraId="1D88003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718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606</w:t>
            </w:r>
          </w:p>
        </w:tc>
      </w:tr>
      <w:tr w:rsidR="000B02CD" w:rsidRPr="00B675EE" w14:paraId="5BC278C6" w14:textId="77777777" w:rsidTr="00A82B3B">
        <w:tc>
          <w:tcPr>
            <w:tcW w:w="3330" w:type="dxa"/>
          </w:tcPr>
          <w:p w14:paraId="218212A2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Known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620" w:type="dxa"/>
          </w:tcPr>
          <w:p w14:paraId="1611877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966</w:t>
            </w:r>
          </w:p>
        </w:tc>
        <w:tc>
          <w:tcPr>
            <w:tcW w:w="1530" w:type="dxa"/>
          </w:tcPr>
          <w:p w14:paraId="398716C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170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389</w:t>
            </w:r>
          </w:p>
        </w:tc>
        <w:tc>
          <w:tcPr>
            <w:tcW w:w="1458" w:type="dxa"/>
          </w:tcPr>
          <w:p w14:paraId="0E80D63D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948</w:t>
            </w:r>
          </w:p>
        </w:tc>
        <w:tc>
          <w:tcPr>
            <w:tcW w:w="1422" w:type="dxa"/>
          </w:tcPr>
          <w:p w14:paraId="7FA799C1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129</w:t>
            </w:r>
          </w:p>
        </w:tc>
      </w:tr>
      <w:tr w:rsidR="000B02CD" w:rsidRPr="00B675EE" w14:paraId="4D6A7437" w14:textId="77777777" w:rsidTr="00A82B3B">
        <w:tc>
          <w:tcPr>
            <w:tcW w:w="3330" w:type="dxa"/>
          </w:tcPr>
          <w:p w14:paraId="4EA020EA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Known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</w:tcPr>
          <w:p w14:paraId="701B9ACE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63.26%</w:t>
            </w:r>
          </w:p>
        </w:tc>
        <w:tc>
          <w:tcPr>
            <w:tcW w:w="1530" w:type="dxa"/>
          </w:tcPr>
          <w:p w14:paraId="6E0EBCF4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68.81%</w:t>
            </w:r>
          </w:p>
        </w:tc>
        <w:tc>
          <w:tcPr>
            <w:tcW w:w="1458" w:type="dxa"/>
          </w:tcPr>
          <w:p w14:paraId="4673E10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83.94%</w:t>
            </w:r>
          </w:p>
        </w:tc>
        <w:tc>
          <w:tcPr>
            <w:tcW w:w="1422" w:type="dxa"/>
          </w:tcPr>
          <w:p w14:paraId="668D14F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61.11%</w:t>
            </w:r>
          </w:p>
        </w:tc>
      </w:tr>
      <w:tr w:rsidR="000B02CD" w:rsidRPr="00B675EE" w14:paraId="0FE0C10B" w14:textId="77777777" w:rsidTr="00A82B3B">
        <w:tc>
          <w:tcPr>
            <w:tcW w:w="3330" w:type="dxa"/>
          </w:tcPr>
          <w:p w14:paraId="07F94111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Novel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620" w:type="dxa"/>
          </w:tcPr>
          <w:p w14:paraId="0041EFE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586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452</w:t>
            </w:r>
          </w:p>
        </w:tc>
        <w:tc>
          <w:tcPr>
            <w:tcW w:w="1530" w:type="dxa"/>
          </w:tcPr>
          <w:p w14:paraId="7C9D831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233</w:t>
            </w:r>
          </w:p>
        </w:tc>
        <w:tc>
          <w:tcPr>
            <w:tcW w:w="1458" w:type="dxa"/>
          </w:tcPr>
          <w:p w14:paraId="41BB64E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660</w:t>
            </w:r>
          </w:p>
        </w:tc>
        <w:tc>
          <w:tcPr>
            <w:tcW w:w="1422" w:type="dxa"/>
          </w:tcPr>
          <w:p w14:paraId="4D1A955C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477</w:t>
            </w:r>
          </w:p>
        </w:tc>
      </w:tr>
      <w:tr w:rsidR="000B02CD" w:rsidRPr="00B675EE" w14:paraId="74D5C609" w14:textId="77777777" w:rsidTr="00A82B3B">
        <w:tc>
          <w:tcPr>
            <w:tcW w:w="3330" w:type="dxa"/>
          </w:tcPr>
          <w:p w14:paraId="3C5A7593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Novel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</w:tcPr>
          <w:p w14:paraId="755D532E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36.74%</w:t>
            </w:r>
          </w:p>
        </w:tc>
        <w:tc>
          <w:tcPr>
            <w:tcW w:w="1530" w:type="dxa"/>
          </w:tcPr>
          <w:p w14:paraId="184CF031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31.19%</w:t>
            </w:r>
          </w:p>
        </w:tc>
        <w:tc>
          <w:tcPr>
            <w:tcW w:w="1458" w:type="dxa"/>
          </w:tcPr>
          <w:p w14:paraId="5AA7519B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16.06%</w:t>
            </w:r>
          </w:p>
        </w:tc>
        <w:tc>
          <w:tcPr>
            <w:tcW w:w="1422" w:type="dxa"/>
          </w:tcPr>
          <w:p w14:paraId="5FF27DED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38.89%</w:t>
            </w:r>
          </w:p>
        </w:tc>
      </w:tr>
      <w:tr w:rsidR="000B02CD" w:rsidRPr="00B675EE" w14:paraId="294F2292" w14:textId="77777777" w:rsidTr="00A82B3B">
        <w:tc>
          <w:tcPr>
            <w:tcW w:w="3330" w:type="dxa"/>
          </w:tcPr>
          <w:p w14:paraId="481B3869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Multi-allelic SNVs</w:t>
            </w:r>
          </w:p>
        </w:tc>
        <w:tc>
          <w:tcPr>
            <w:tcW w:w="1620" w:type="dxa"/>
          </w:tcPr>
          <w:p w14:paraId="574FF8C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198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14:paraId="32079B9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541</w:t>
            </w:r>
          </w:p>
        </w:tc>
        <w:tc>
          <w:tcPr>
            <w:tcW w:w="1458" w:type="dxa"/>
          </w:tcPr>
          <w:p w14:paraId="68E903FD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165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307</w:t>
            </w:r>
          </w:p>
        </w:tc>
        <w:tc>
          <w:tcPr>
            <w:tcW w:w="1422" w:type="dxa"/>
          </w:tcPr>
          <w:p w14:paraId="4E4ADEB8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688</w:t>
            </w:r>
          </w:p>
        </w:tc>
      </w:tr>
      <w:tr w:rsidR="000B02CD" w:rsidRPr="00B675EE" w14:paraId="09D42C15" w14:textId="77777777" w:rsidTr="00A82B3B">
        <w:tc>
          <w:tcPr>
            <w:tcW w:w="3330" w:type="dxa"/>
          </w:tcPr>
          <w:p w14:paraId="5BEDF9D4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Multi-allelic SNVs (%)</w:t>
            </w:r>
          </w:p>
        </w:tc>
        <w:tc>
          <w:tcPr>
            <w:tcW w:w="1620" w:type="dxa"/>
          </w:tcPr>
          <w:p w14:paraId="53961C1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5.03%</w:t>
            </w:r>
          </w:p>
        </w:tc>
        <w:tc>
          <w:tcPr>
            <w:tcW w:w="1530" w:type="dxa"/>
          </w:tcPr>
          <w:p w14:paraId="40C0BC01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0.07%</w:t>
            </w:r>
          </w:p>
        </w:tc>
        <w:tc>
          <w:tcPr>
            <w:tcW w:w="1458" w:type="dxa"/>
          </w:tcPr>
          <w:p w14:paraId="3CF952CC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6.02%</w:t>
            </w:r>
          </w:p>
        </w:tc>
        <w:tc>
          <w:tcPr>
            <w:tcW w:w="1422" w:type="dxa"/>
          </w:tcPr>
          <w:p w14:paraId="43EA2D2F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8.45%</w:t>
            </w:r>
          </w:p>
        </w:tc>
      </w:tr>
      <w:tr w:rsidR="000B02CD" w:rsidRPr="00B675EE" w14:paraId="25AF631F" w14:textId="77777777" w:rsidTr="00A82B3B">
        <w:tc>
          <w:tcPr>
            <w:tcW w:w="3330" w:type="dxa"/>
          </w:tcPr>
          <w:p w14:paraId="2BABEA76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Known multi-allelic SNVs</w:t>
            </w:r>
          </w:p>
        </w:tc>
        <w:tc>
          <w:tcPr>
            <w:tcW w:w="1620" w:type="dxa"/>
          </w:tcPr>
          <w:p w14:paraId="7D4E799F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174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058</w:t>
            </w:r>
          </w:p>
        </w:tc>
        <w:tc>
          <w:tcPr>
            <w:tcW w:w="1530" w:type="dxa"/>
          </w:tcPr>
          <w:p w14:paraId="469CB0E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491</w:t>
            </w:r>
          </w:p>
        </w:tc>
        <w:tc>
          <w:tcPr>
            <w:tcW w:w="1458" w:type="dxa"/>
          </w:tcPr>
          <w:p w14:paraId="043BC71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154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111</w:t>
            </w:r>
          </w:p>
        </w:tc>
        <w:tc>
          <w:tcPr>
            <w:tcW w:w="1422" w:type="dxa"/>
          </w:tcPr>
          <w:p w14:paraId="0450AAA6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447</w:t>
            </w:r>
          </w:p>
        </w:tc>
      </w:tr>
      <w:tr w:rsidR="000B02CD" w:rsidRPr="00B675EE" w14:paraId="318A37EC" w14:textId="77777777" w:rsidTr="00A82B3B">
        <w:tc>
          <w:tcPr>
            <w:tcW w:w="3330" w:type="dxa"/>
          </w:tcPr>
          <w:p w14:paraId="547A544F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Known multi-allelic SNVs (%)</w:t>
            </w:r>
          </w:p>
        </w:tc>
        <w:tc>
          <w:tcPr>
            <w:tcW w:w="1620" w:type="dxa"/>
          </w:tcPr>
          <w:p w14:paraId="74012F71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7.67%</w:t>
            </w:r>
          </w:p>
        </w:tc>
        <w:tc>
          <w:tcPr>
            <w:tcW w:w="1530" w:type="dxa"/>
          </w:tcPr>
          <w:p w14:paraId="6C85EC9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0.07%</w:t>
            </w:r>
          </w:p>
        </w:tc>
        <w:tc>
          <w:tcPr>
            <w:tcW w:w="1458" w:type="dxa"/>
          </w:tcPr>
          <w:p w14:paraId="68D28ECF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8.81%</w:t>
            </w:r>
          </w:p>
        </w:tc>
        <w:tc>
          <w:tcPr>
            <w:tcW w:w="1422" w:type="dxa"/>
          </w:tcPr>
          <w:p w14:paraId="70BD845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12.45%</w:t>
            </w:r>
          </w:p>
        </w:tc>
      </w:tr>
      <w:tr w:rsidR="000B02CD" w:rsidRPr="00B675EE" w14:paraId="10E32F5B" w14:textId="77777777" w:rsidTr="00A82B3B">
        <w:tc>
          <w:tcPr>
            <w:tcW w:w="3330" w:type="dxa"/>
          </w:tcPr>
          <w:p w14:paraId="1E903593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Singletons in SNVs</w:t>
            </w:r>
          </w:p>
        </w:tc>
        <w:tc>
          <w:tcPr>
            <w:tcW w:w="1620" w:type="dxa"/>
          </w:tcPr>
          <w:p w14:paraId="1D63FDE7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1276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530" w:type="dxa"/>
          </w:tcPr>
          <w:p w14:paraId="201054EC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018</w:t>
            </w:r>
          </w:p>
        </w:tc>
        <w:tc>
          <w:tcPr>
            <w:tcW w:w="1458" w:type="dxa"/>
          </w:tcPr>
          <w:p w14:paraId="2D969895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1053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352</w:t>
            </w:r>
          </w:p>
        </w:tc>
        <w:tc>
          <w:tcPr>
            <w:tcW w:w="1422" w:type="dxa"/>
          </w:tcPr>
          <w:p w14:paraId="0568647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715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489</w:t>
            </w:r>
          </w:p>
        </w:tc>
      </w:tr>
      <w:tr w:rsidR="000B02CD" w:rsidRPr="00B675EE" w14:paraId="59BEA74A" w14:textId="77777777" w:rsidTr="00A82B3B">
        <w:tc>
          <w:tcPr>
            <w:tcW w:w="3330" w:type="dxa"/>
          </w:tcPr>
          <w:p w14:paraId="769C6EC7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Singletons in SNVs (%)</w:t>
            </w:r>
          </w:p>
        </w:tc>
        <w:tc>
          <w:tcPr>
            <w:tcW w:w="1620" w:type="dxa"/>
          </w:tcPr>
          <w:p w14:paraId="6A52B56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32.31%</w:t>
            </w:r>
          </w:p>
        </w:tc>
        <w:tc>
          <w:tcPr>
            <w:tcW w:w="1530" w:type="dxa"/>
          </w:tcPr>
          <w:p w14:paraId="020582CA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17.44%</w:t>
            </w:r>
          </w:p>
        </w:tc>
        <w:tc>
          <w:tcPr>
            <w:tcW w:w="1458" w:type="dxa"/>
          </w:tcPr>
          <w:p w14:paraId="2877417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38.35%</w:t>
            </w:r>
          </w:p>
        </w:tc>
        <w:tc>
          <w:tcPr>
            <w:tcW w:w="1422" w:type="dxa"/>
          </w:tcPr>
          <w:p w14:paraId="02177A6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41.80%</w:t>
            </w:r>
          </w:p>
        </w:tc>
      </w:tr>
      <w:tr w:rsidR="000B02CD" w:rsidRPr="00B675EE" w14:paraId="20601D7F" w14:textId="77777777" w:rsidTr="00A82B3B">
        <w:tc>
          <w:tcPr>
            <w:tcW w:w="3330" w:type="dxa"/>
          </w:tcPr>
          <w:p w14:paraId="0224A9BD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Singletons in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620" w:type="dxa"/>
          </w:tcPr>
          <w:p w14:paraId="539078B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870</w:t>
            </w:r>
          </w:p>
        </w:tc>
        <w:tc>
          <w:tcPr>
            <w:tcW w:w="1530" w:type="dxa"/>
          </w:tcPr>
          <w:p w14:paraId="687337FB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339</w:t>
            </w:r>
          </w:p>
        </w:tc>
        <w:tc>
          <w:tcPr>
            <w:tcW w:w="1458" w:type="dxa"/>
          </w:tcPr>
          <w:p w14:paraId="27377792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668</w:t>
            </w:r>
          </w:p>
        </w:tc>
        <w:tc>
          <w:tcPr>
            <w:tcW w:w="1422" w:type="dxa"/>
          </w:tcPr>
          <w:p w14:paraId="15F2D849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178</w:t>
            </w:r>
            <w:r w:rsidRPr="00F0293D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</w:tr>
      <w:tr w:rsidR="000B02CD" w:rsidRPr="00B675EE" w14:paraId="490EF73D" w14:textId="77777777" w:rsidTr="00A82B3B">
        <w:tc>
          <w:tcPr>
            <w:tcW w:w="3330" w:type="dxa"/>
          </w:tcPr>
          <w:p w14:paraId="225854B9" w14:textId="77777777" w:rsidR="000B02CD" w:rsidRPr="00B675EE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Singletons in </w:t>
            </w:r>
            <w:proofErr w:type="spellStart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>indels</w:t>
            </w:r>
            <w:proofErr w:type="spellEnd"/>
            <w:r w:rsidRPr="00B675E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</w:tcPr>
          <w:p w14:paraId="31B710E7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18.85%</w:t>
            </w:r>
          </w:p>
        </w:tc>
        <w:tc>
          <w:tcPr>
            <w:tcW w:w="1530" w:type="dxa"/>
          </w:tcPr>
          <w:p w14:paraId="571043A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20.73%</w:t>
            </w:r>
          </w:p>
        </w:tc>
        <w:tc>
          <w:tcPr>
            <w:tcW w:w="1458" w:type="dxa"/>
          </w:tcPr>
          <w:p w14:paraId="25FF9643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17.04%</w:t>
            </w:r>
          </w:p>
        </w:tc>
        <w:tc>
          <w:tcPr>
            <w:tcW w:w="1422" w:type="dxa"/>
          </w:tcPr>
          <w:p w14:paraId="59345E35" w14:textId="77777777" w:rsidR="000B02CD" w:rsidRPr="00CF1FB4" w:rsidRDefault="000B02CD" w:rsidP="00A82B3B">
            <w:pPr>
              <w:pStyle w:val="Table"/>
              <w:jc w:val="both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F0293D">
              <w:rPr>
                <w:rFonts w:asciiTheme="majorBidi" w:hAnsiTheme="majorBidi" w:cstheme="majorBidi"/>
                <w:sz w:val="24"/>
                <w:szCs w:val="24"/>
              </w:rPr>
              <w:t>24.79%</w:t>
            </w:r>
          </w:p>
        </w:tc>
      </w:tr>
    </w:tbl>
    <w:p w14:paraId="5E2FACC9" w14:textId="77777777" w:rsidR="00517961" w:rsidRDefault="000B02CD" w:rsidP="000B02CD">
      <w:pPr>
        <w:spacing w:line="480" w:lineRule="auto"/>
      </w:pPr>
      <w:bookmarkStart w:id="0" w:name="_GoBack"/>
      <w:bookmarkEnd w:id="0"/>
      <w:r>
        <w:rPr>
          <w:noProof w:val="0"/>
          <w:sz w:val="24"/>
          <w:szCs w:val="24"/>
        </w:rPr>
        <w:t xml:space="preserve">The undetermined variants in the PSP dataset are </w:t>
      </w:r>
      <w:r w:rsidRPr="00C154AE">
        <w:rPr>
          <w:noProof w:val="0"/>
          <w:sz w:val="24"/>
          <w:szCs w:val="24"/>
        </w:rPr>
        <w:t>processed by</w:t>
      </w:r>
      <w:r>
        <w:rPr>
          <w:noProof w:val="0"/>
          <w:sz w:val="24"/>
          <w:szCs w:val="24"/>
        </w:rPr>
        <w:t xml:space="preserve"> four</w:t>
      </w:r>
      <w:r w:rsidRPr="00C154AE">
        <w:rPr>
          <w:noProof w:val="0"/>
          <w:sz w:val="24"/>
          <w:szCs w:val="24"/>
        </w:rPr>
        <w:t xml:space="preserve"> different methods, including no QC applied, </w:t>
      </w:r>
      <w:proofErr w:type="spellStart"/>
      <w:r w:rsidRPr="00C154AE">
        <w:rPr>
          <w:noProof w:val="0"/>
          <w:sz w:val="24"/>
          <w:szCs w:val="24"/>
        </w:rPr>
        <w:t>ABHet</w:t>
      </w:r>
      <w:proofErr w:type="spellEnd"/>
      <w:r w:rsidRPr="00C154AE">
        <w:rPr>
          <w:noProof w:val="0"/>
          <w:sz w:val="24"/>
          <w:szCs w:val="24"/>
        </w:rPr>
        <w:t xml:space="preserve"> approach, VQSR and </w:t>
      </w:r>
      <w:proofErr w:type="spellStart"/>
      <w:r w:rsidRPr="00C154AE">
        <w:rPr>
          <w:noProof w:val="0"/>
          <w:sz w:val="24"/>
          <w:szCs w:val="24"/>
        </w:rPr>
        <w:t>ForestQC</w:t>
      </w:r>
      <w:proofErr w:type="spellEnd"/>
      <w:r w:rsidRPr="00C154AE">
        <w:rPr>
          <w:noProof w:val="0"/>
          <w:sz w:val="24"/>
          <w:szCs w:val="24"/>
        </w:rPr>
        <w:t xml:space="preserve">. There are 20 metrics in total, which are described in Material and Methods section in detail. “Known” stands for variants found in </w:t>
      </w:r>
      <w:proofErr w:type="spellStart"/>
      <w:r w:rsidRPr="00C154AE">
        <w:rPr>
          <w:noProof w:val="0"/>
          <w:sz w:val="24"/>
          <w:szCs w:val="24"/>
        </w:rPr>
        <w:t>dbSNP</w:t>
      </w:r>
      <w:proofErr w:type="spellEnd"/>
      <w:r w:rsidRPr="00C154AE">
        <w:rPr>
          <w:noProof w:val="0"/>
          <w:sz w:val="24"/>
          <w:szCs w:val="24"/>
        </w:rPr>
        <w:t xml:space="preserve">. “Novel” stands for variants not found in </w:t>
      </w:r>
      <w:proofErr w:type="spellStart"/>
      <w:r w:rsidRPr="00C154AE">
        <w:rPr>
          <w:noProof w:val="0"/>
          <w:sz w:val="24"/>
          <w:szCs w:val="24"/>
        </w:rPr>
        <w:t>dbSNP</w:t>
      </w:r>
      <w:proofErr w:type="spellEnd"/>
      <w:r w:rsidRPr="00C154AE">
        <w:rPr>
          <w:noProof w:val="0"/>
          <w:sz w:val="24"/>
          <w:szCs w:val="24"/>
        </w:rPr>
        <w:t xml:space="preserve">. The version of </w:t>
      </w:r>
      <w:proofErr w:type="spellStart"/>
      <w:r w:rsidRPr="00C154AE">
        <w:rPr>
          <w:noProof w:val="0"/>
          <w:sz w:val="24"/>
          <w:szCs w:val="24"/>
        </w:rPr>
        <w:t>dbSNP</w:t>
      </w:r>
      <w:proofErr w:type="spellEnd"/>
      <w:r w:rsidRPr="00C154AE">
        <w:rPr>
          <w:noProof w:val="0"/>
          <w:sz w:val="24"/>
          <w:szCs w:val="24"/>
        </w:rPr>
        <w:t xml:space="preserve"> is 150.</w:t>
      </w:r>
    </w:p>
    <w:sectPr w:rsidR="00517961" w:rsidSect="0088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D"/>
    <w:rsid w:val="000B02CD"/>
    <w:rsid w:val="00211B43"/>
    <w:rsid w:val="002E081C"/>
    <w:rsid w:val="002F2D1A"/>
    <w:rsid w:val="00492085"/>
    <w:rsid w:val="00553F0E"/>
    <w:rsid w:val="00567ECC"/>
    <w:rsid w:val="00652D3D"/>
    <w:rsid w:val="00656CCF"/>
    <w:rsid w:val="00885A26"/>
    <w:rsid w:val="009D5855"/>
    <w:rsid w:val="00A406E6"/>
    <w:rsid w:val="00AD1DD5"/>
    <w:rsid w:val="00D70CE1"/>
    <w:rsid w:val="00E04C30"/>
    <w:rsid w:val="00E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8B1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2CD"/>
    <w:pPr>
      <w:autoSpaceDE w:val="0"/>
      <w:autoSpaceDN w:val="0"/>
      <w:adjustRightInd w:val="0"/>
      <w:jc w:val="both"/>
    </w:pPr>
    <w:rPr>
      <w:rFonts w:ascii="Times New Roman" w:eastAsia="SimSu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99"/>
    <w:rsid w:val="000B02CD"/>
    <w:pPr>
      <w:keepLines/>
      <w:spacing w:before="120"/>
      <w:jc w:val="center"/>
    </w:pPr>
  </w:style>
  <w:style w:type="table" w:styleId="TableGrid">
    <w:name w:val="Table Grid"/>
    <w:basedOn w:val="TableNormal"/>
    <w:uiPriority w:val="59"/>
    <w:rsid w:val="000B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 Li</dc:creator>
  <cp:keywords/>
  <dc:description/>
  <cp:lastModifiedBy>Jiajin Li</cp:lastModifiedBy>
  <cp:revision>1</cp:revision>
  <dcterms:created xsi:type="dcterms:W3CDTF">2019-10-28T20:59:00Z</dcterms:created>
  <dcterms:modified xsi:type="dcterms:W3CDTF">2019-10-28T20:59:00Z</dcterms:modified>
</cp:coreProperties>
</file>