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71F7B" w14:textId="77777777" w:rsidR="000E53EA" w:rsidRPr="004F15E6" w:rsidRDefault="000E53EA" w:rsidP="000E53EA">
      <w:pPr>
        <w:rPr>
          <w:b/>
          <w:sz w:val="44"/>
          <w:szCs w:val="44"/>
        </w:rPr>
      </w:pPr>
      <w:bookmarkStart w:id="0" w:name="OLE_LINK75"/>
      <w:r>
        <w:rPr>
          <w:b/>
          <w:sz w:val="44"/>
          <w:szCs w:val="44"/>
        </w:rPr>
        <w:t>Supporting Information</w:t>
      </w:r>
      <w:r w:rsidRPr="004F15E6">
        <w:rPr>
          <w:b/>
          <w:sz w:val="44"/>
          <w:szCs w:val="44"/>
        </w:rPr>
        <w:t>: A neural network model predicts community-level signaling states in a diverse microbial community</w:t>
      </w:r>
    </w:p>
    <w:bookmarkEnd w:id="0"/>
    <w:p w14:paraId="4F1F9856" w14:textId="77777777" w:rsidR="000E53EA" w:rsidRPr="00C400CA" w:rsidRDefault="000E53EA" w:rsidP="000E53EA">
      <w:r w:rsidRPr="00C400CA" w:rsidDel="00B00A57">
        <w:rPr>
          <w:b/>
          <w:sz w:val="44"/>
          <w:szCs w:val="44"/>
        </w:rPr>
        <w:t xml:space="preserve"> </w:t>
      </w:r>
    </w:p>
    <w:p w14:paraId="0A23EF3E" w14:textId="77777777" w:rsidR="000E53EA" w:rsidRPr="00832B9F" w:rsidRDefault="000E53EA" w:rsidP="000E53EA">
      <w:pPr>
        <w:rPr>
          <w:b/>
        </w:rPr>
      </w:pPr>
      <w:r w:rsidRPr="00832B9F">
        <w:rPr>
          <w:b/>
        </w:rPr>
        <w:t xml:space="preserve">Kalinga </w:t>
      </w:r>
      <w:proofErr w:type="spellStart"/>
      <w:r w:rsidRPr="00832B9F">
        <w:rPr>
          <w:b/>
        </w:rPr>
        <w:t>Pavan</w:t>
      </w:r>
      <w:proofErr w:type="spellEnd"/>
      <w:r w:rsidRPr="00832B9F">
        <w:rPr>
          <w:b/>
        </w:rPr>
        <w:t xml:space="preserve"> T</w:t>
      </w:r>
      <w:proofErr w:type="gramStart"/>
      <w:r w:rsidRPr="00832B9F">
        <w:rPr>
          <w:b/>
        </w:rPr>
        <w:t xml:space="preserve">.  </w:t>
      </w:r>
      <w:proofErr w:type="gramEnd"/>
      <w:r w:rsidRPr="00832B9F">
        <w:rPr>
          <w:b/>
        </w:rPr>
        <w:t>Silva, James Q. Boedicker</w:t>
      </w:r>
    </w:p>
    <w:p w14:paraId="1F9DC264" w14:textId="77777777" w:rsidR="000E53EA" w:rsidRPr="00C400CA" w:rsidRDefault="000E53EA" w:rsidP="000E53EA"/>
    <w:p w14:paraId="023737E5" w14:textId="6487A050" w:rsidR="000E53EA" w:rsidRPr="00C400CA" w:rsidRDefault="00364027" w:rsidP="000E53EA">
      <w:pPr>
        <w:spacing w:line="600" w:lineRule="auto"/>
      </w:pPr>
      <w:r>
        <w:t>Fig. A</w:t>
      </w:r>
      <w:r w:rsidR="000E53EA" w:rsidRPr="00C400CA">
        <w:t>: Fluorescence per cell vs time for the testers.</w:t>
      </w:r>
    </w:p>
    <w:p w14:paraId="1B67FD32" w14:textId="062C0FA7" w:rsidR="000E53EA" w:rsidRPr="00C400CA" w:rsidRDefault="00364027" w:rsidP="000E53EA">
      <w:pPr>
        <w:spacing w:line="600" w:lineRule="auto"/>
      </w:pPr>
      <w:r>
        <w:t>Fig. B</w:t>
      </w:r>
      <w:r w:rsidR="000E53EA" w:rsidRPr="00C400CA">
        <w:t xml:space="preserve">: The fold changes in the </w:t>
      </w:r>
      <w:proofErr w:type="spellStart"/>
      <w:r w:rsidR="000E53EA" w:rsidRPr="00C400CA">
        <w:t>LacZ</w:t>
      </w:r>
      <w:proofErr w:type="spellEnd"/>
      <w:r w:rsidR="000E53EA" w:rsidRPr="00C400CA">
        <w:t xml:space="preserve"> expression.</w:t>
      </w:r>
    </w:p>
    <w:p w14:paraId="7F69390F" w14:textId="225AB1E1" w:rsidR="000E53EA" w:rsidRDefault="00364027" w:rsidP="000E53EA">
      <w:pPr>
        <w:spacing w:line="600" w:lineRule="auto"/>
      </w:pPr>
      <w:r>
        <w:t>Fig. C</w:t>
      </w:r>
      <w:r w:rsidR="000E53EA">
        <w:t>: Consistency of the response of the testers.</w:t>
      </w:r>
    </w:p>
    <w:p w14:paraId="02BEF9C0" w14:textId="7466A2DB" w:rsidR="000E53EA" w:rsidRPr="00C400CA" w:rsidRDefault="00364027" w:rsidP="000E53EA">
      <w:pPr>
        <w:spacing w:line="600" w:lineRule="auto"/>
      </w:pPr>
      <w:r>
        <w:t>Fig. D</w:t>
      </w:r>
      <w:r w:rsidR="000E53EA" w:rsidRPr="00C400CA">
        <w:t>: Doubling times for the producers and testers.</w:t>
      </w:r>
    </w:p>
    <w:p w14:paraId="737FF39E" w14:textId="0DD6B63B" w:rsidR="000E53EA" w:rsidRPr="00C400CA" w:rsidRDefault="00364027" w:rsidP="000E53EA">
      <w:pPr>
        <w:spacing w:line="600" w:lineRule="auto"/>
      </w:pPr>
      <w:r>
        <w:t>Table A:</w:t>
      </w:r>
      <w:r w:rsidR="000E53EA" w:rsidRPr="00C400CA">
        <w:t xml:space="preserve"> Parameter values used in the study for the modeling.</w:t>
      </w:r>
    </w:p>
    <w:p w14:paraId="0EB1EF70" w14:textId="7FC12321" w:rsidR="000E53EA" w:rsidRPr="00C400CA" w:rsidRDefault="00364027" w:rsidP="000E53EA">
      <w:pPr>
        <w:spacing w:line="600" w:lineRule="auto"/>
      </w:pPr>
      <w:r>
        <w:t>Fig. E</w:t>
      </w:r>
      <w:r w:rsidR="000E53EA" w:rsidRPr="00C400CA">
        <w:t>: The root mean squared error minimized.</w:t>
      </w:r>
    </w:p>
    <w:p w14:paraId="5B3B499E" w14:textId="387F8431" w:rsidR="000E53EA" w:rsidRDefault="00364027" w:rsidP="000E53EA">
      <w:pPr>
        <w:spacing w:line="600" w:lineRule="auto"/>
      </w:pPr>
      <w:r>
        <w:t>Fig. F</w:t>
      </w:r>
      <w:r w:rsidR="000E53EA" w:rsidRPr="00C400CA">
        <w:t>: The best fit curves for f and Ɵ.</w:t>
      </w:r>
    </w:p>
    <w:p w14:paraId="0C841981" w14:textId="762B3716" w:rsidR="000E53EA" w:rsidRPr="00C400CA" w:rsidRDefault="00364027" w:rsidP="000E53EA">
      <w:pPr>
        <w:spacing w:line="600" w:lineRule="auto"/>
      </w:pPr>
      <w:r>
        <w:t>Fig. G</w:t>
      </w:r>
      <w:r w:rsidR="000E53EA" w:rsidRPr="00C400CA">
        <w:t>: The quorum sensing activation landscape for the tester A.</w:t>
      </w:r>
    </w:p>
    <w:p w14:paraId="42D31AF1" w14:textId="344DCB9B" w:rsidR="000E53EA" w:rsidRPr="00C400CA" w:rsidRDefault="00364027" w:rsidP="000E53EA">
      <w:pPr>
        <w:spacing w:line="600" w:lineRule="auto"/>
      </w:pPr>
      <w:r>
        <w:t>Fig. H</w:t>
      </w:r>
      <w:r w:rsidR="000E53EA" w:rsidRPr="00C400CA">
        <w:t>: The quorum sensing activation landscape for the tester B.</w:t>
      </w:r>
    </w:p>
    <w:p w14:paraId="37BD686B" w14:textId="32D1B575" w:rsidR="000E53EA" w:rsidRPr="00C400CA" w:rsidRDefault="00364027" w:rsidP="000E53EA">
      <w:pPr>
        <w:spacing w:line="600" w:lineRule="auto"/>
      </w:pPr>
      <w:r>
        <w:t>Fig. I</w:t>
      </w:r>
      <w:r w:rsidR="000E53EA" w:rsidRPr="00C400CA">
        <w:t>: The quorum sensing activation landscape for the tester C.</w:t>
      </w:r>
    </w:p>
    <w:p w14:paraId="785B94AE" w14:textId="4940F7E9" w:rsidR="000E53EA" w:rsidRPr="00C400CA" w:rsidRDefault="00364027" w:rsidP="000E53EA">
      <w:pPr>
        <w:spacing w:line="600" w:lineRule="auto"/>
      </w:pPr>
      <w:r>
        <w:t>Fig. J</w:t>
      </w:r>
      <w:r w:rsidR="000E53EA" w:rsidRPr="00C400CA">
        <w:t xml:space="preserve">: The quorum sensing activation landscape for the tester D. </w:t>
      </w:r>
    </w:p>
    <w:p w14:paraId="6C63BFCF" w14:textId="5F552A29" w:rsidR="000E53EA" w:rsidRPr="00C400CA" w:rsidRDefault="00364027" w:rsidP="000E53EA">
      <w:pPr>
        <w:spacing w:line="600" w:lineRule="auto"/>
      </w:pPr>
      <w:r>
        <w:t>Fig. K</w:t>
      </w:r>
      <w:r w:rsidR="000E53EA" w:rsidRPr="00C400CA">
        <w:t>: The quorum sensing activation landscape for the tester E.</w:t>
      </w:r>
    </w:p>
    <w:p w14:paraId="49C257EB" w14:textId="6AC09A49" w:rsidR="000E53EA" w:rsidRDefault="000E53EA" w:rsidP="000E53EA">
      <w:pPr>
        <w:spacing w:line="600" w:lineRule="auto"/>
      </w:pPr>
      <w:r w:rsidRPr="00C400CA">
        <w:lastRenderedPageBreak/>
        <w:t>Fig</w:t>
      </w:r>
      <w:r>
        <w:t>.</w:t>
      </w:r>
      <w:r w:rsidR="00364027">
        <w:t xml:space="preserve"> L</w:t>
      </w:r>
      <w:r w:rsidRPr="00C400CA">
        <w:t>: The overall pairwise quorum sensing interaction map.</w:t>
      </w:r>
    </w:p>
    <w:p w14:paraId="3FB3A59E" w14:textId="2FC82238" w:rsidR="000E53EA" w:rsidRPr="00C400CA" w:rsidRDefault="000E53EA" w:rsidP="000E53EA">
      <w:r>
        <w:t>F</w:t>
      </w:r>
      <w:r w:rsidRPr="00C400CA">
        <w:t>ig</w:t>
      </w:r>
      <w:r w:rsidR="00364027">
        <w:t>. M</w:t>
      </w:r>
      <w:r w:rsidRPr="00C400CA">
        <w:t xml:space="preserve">: </w:t>
      </w:r>
      <w:proofErr w:type="spellStart"/>
      <w:r>
        <w:t>LacZ</w:t>
      </w:r>
      <w:proofErr w:type="spellEnd"/>
      <w:r>
        <w:t xml:space="preserve"> fold change comparisons of the 5 supernatant case from simulations and experiments.</w:t>
      </w:r>
    </w:p>
    <w:p w14:paraId="69E570AB" w14:textId="77777777" w:rsidR="000E53EA" w:rsidRDefault="000E53EA" w:rsidP="000E53EA"/>
    <w:p w14:paraId="22203AE5" w14:textId="03C37A9B" w:rsidR="000E53EA" w:rsidRPr="00C400CA" w:rsidRDefault="00364027" w:rsidP="000E53EA">
      <w:r>
        <w:t>Fig. N</w:t>
      </w:r>
      <w:r w:rsidR="000E53EA" w:rsidRPr="00C400CA">
        <w:t xml:space="preserve">: Simulation results of the </w:t>
      </w:r>
      <w:proofErr w:type="spellStart"/>
      <w:r w:rsidR="000E53EA" w:rsidRPr="00C400CA">
        <w:t>ComX</w:t>
      </w:r>
      <w:proofErr w:type="spellEnd"/>
      <w:r w:rsidR="000E53EA" w:rsidRPr="00C400CA">
        <w:t xml:space="preserve"> concentration normalized by Ɵ over time. </w:t>
      </w:r>
    </w:p>
    <w:p w14:paraId="498036D0" w14:textId="77777777" w:rsidR="000E53EA" w:rsidRPr="00C400CA" w:rsidRDefault="000E53EA" w:rsidP="000E53EA"/>
    <w:p w14:paraId="56C39850" w14:textId="06D26F5D" w:rsidR="000E53EA" w:rsidRPr="00C400CA" w:rsidRDefault="00364027" w:rsidP="000E53EA">
      <w:r>
        <w:t>Fig. O</w:t>
      </w:r>
      <w:r w:rsidR="000E53EA" w:rsidRPr="00C400CA">
        <w:t xml:space="preserve">: Simulation results of the </w:t>
      </w:r>
      <w:proofErr w:type="spellStart"/>
      <w:r w:rsidR="000E53EA" w:rsidRPr="00C400CA">
        <w:t>ComX</w:t>
      </w:r>
      <w:proofErr w:type="spellEnd"/>
      <w:r w:rsidR="000E53EA" w:rsidRPr="00C400CA">
        <w:t xml:space="preserve"> concentration normalized by Ɵ over time when the system is perturbed.</w:t>
      </w:r>
    </w:p>
    <w:p w14:paraId="28B70B3B" w14:textId="77777777" w:rsidR="000E53EA" w:rsidRPr="00C400CA" w:rsidRDefault="000E53EA" w:rsidP="000E53EA"/>
    <w:p w14:paraId="1136ABEE" w14:textId="4A4817A8" w:rsidR="000E53EA" w:rsidRPr="00C400CA" w:rsidRDefault="00364027" w:rsidP="000E53EA">
      <w:r>
        <w:t>Fig. P</w:t>
      </w:r>
      <w:r w:rsidR="000E53EA" w:rsidRPr="00C400CA">
        <w:t xml:space="preserve">: The comparisons of the pairwise crosstalk of our results with </w:t>
      </w:r>
      <w:proofErr w:type="spellStart"/>
      <w:r w:rsidR="000E53EA" w:rsidRPr="00C400CA">
        <w:t>Ansaldi</w:t>
      </w:r>
      <w:proofErr w:type="spellEnd"/>
      <w:r w:rsidR="000E53EA" w:rsidRPr="00C400CA">
        <w:t xml:space="preserve"> </w:t>
      </w:r>
      <w:r w:rsidR="000E53EA" w:rsidRPr="00C400CA">
        <w:rPr>
          <w:i/>
        </w:rPr>
        <w:t>et al.</w:t>
      </w:r>
    </w:p>
    <w:p w14:paraId="796E8699" w14:textId="77777777" w:rsidR="000E53EA" w:rsidRPr="00C400CA" w:rsidRDefault="000E53EA" w:rsidP="000E53EA"/>
    <w:p w14:paraId="202EA42E" w14:textId="77777777" w:rsidR="000E53EA" w:rsidRPr="00C400CA" w:rsidRDefault="000E53EA" w:rsidP="000E53EA"/>
    <w:p w14:paraId="385D3148" w14:textId="77777777" w:rsidR="000E53EA" w:rsidRPr="00C400CA" w:rsidRDefault="000E53EA" w:rsidP="000E53EA"/>
    <w:p w14:paraId="6A387650" w14:textId="77777777" w:rsidR="000E53EA" w:rsidRPr="00C400CA" w:rsidRDefault="000E53EA" w:rsidP="000E53EA"/>
    <w:p w14:paraId="131FCF21" w14:textId="3F0D764F" w:rsidR="000E53EA" w:rsidRPr="00C400CA" w:rsidRDefault="000E53EA" w:rsidP="000E53EA">
      <w:r>
        <w:rPr>
          <w:noProof/>
        </w:rPr>
        <w:drawing>
          <wp:inline distT="0" distB="0" distL="0" distR="0" wp14:anchorId="790C10F0" wp14:editId="5EF2AD50">
            <wp:extent cx="5943600" cy="37134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13480"/>
                    </a:xfrm>
                    <a:prstGeom prst="rect">
                      <a:avLst/>
                    </a:prstGeom>
                  </pic:spPr>
                </pic:pic>
              </a:graphicData>
            </a:graphic>
          </wp:inline>
        </w:drawing>
      </w:r>
      <w:r w:rsidRPr="00C400CA">
        <w:t xml:space="preserve">Fig </w:t>
      </w:r>
      <w:r w:rsidR="00364027">
        <w:t>A</w:t>
      </w:r>
      <w:r w:rsidRPr="00C400CA">
        <w:t xml:space="preserve">: Fluorescence per cell vs time for the testers when mixed with their cognate supernatants (indicated by the yellow circles). For each case, the multiple lines represent the amount of supernatant (S) used. </w:t>
      </w:r>
      <w:proofErr w:type="spellStart"/>
      <w:r>
        <w:t>Errorbars</w:t>
      </w:r>
      <w:proofErr w:type="spellEnd"/>
      <w:r>
        <w:t xml:space="preserve"> represent the standard error from two replicates.</w:t>
      </w:r>
    </w:p>
    <w:p w14:paraId="4659E653" w14:textId="77777777" w:rsidR="000E53EA" w:rsidRPr="00C400CA" w:rsidRDefault="000E53EA" w:rsidP="000E53EA">
      <w:r w:rsidRPr="00C400CA">
        <w:lastRenderedPageBreak/>
        <w:t xml:space="preserve">  </w:t>
      </w:r>
      <w:r w:rsidRPr="00C400CA">
        <w:rPr>
          <w:noProof/>
        </w:rPr>
        <w:drawing>
          <wp:inline distT="0" distB="0" distL="0" distR="0" wp14:anchorId="1EEFC615" wp14:editId="6F8EDC4F">
            <wp:extent cx="5943600" cy="38017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01745"/>
                    </a:xfrm>
                    <a:prstGeom prst="rect">
                      <a:avLst/>
                    </a:prstGeom>
                  </pic:spPr>
                </pic:pic>
              </a:graphicData>
            </a:graphic>
          </wp:inline>
        </w:drawing>
      </w:r>
    </w:p>
    <w:p w14:paraId="01E5E6FB" w14:textId="30A2B247" w:rsidR="000E53EA" w:rsidRDefault="000E53EA" w:rsidP="000E53EA">
      <w:r w:rsidRPr="00C400CA">
        <w:t xml:space="preserve">Fig </w:t>
      </w:r>
      <w:r w:rsidR="00364027">
        <w:t>B</w:t>
      </w:r>
      <w:r w:rsidRPr="00C400CA">
        <w:t xml:space="preserve">: The fold changes in the </w:t>
      </w:r>
      <w:proofErr w:type="spellStart"/>
      <w:r w:rsidRPr="00C400CA">
        <w:t>LacZ</w:t>
      </w:r>
      <w:proofErr w:type="spellEnd"/>
      <w:r w:rsidRPr="00C400CA">
        <w:t xml:space="preserve"> expression of each tester A, B, C, D and E respectively, when mixed with its cognate producer supernatant.</w:t>
      </w:r>
      <w:r>
        <w:t xml:space="preserve"> The </w:t>
      </w:r>
      <w:proofErr w:type="spellStart"/>
      <w:r>
        <w:t>LacZ</w:t>
      </w:r>
      <w:proofErr w:type="spellEnd"/>
      <w:r>
        <w:t xml:space="preserve"> expression is based off of </w:t>
      </w:r>
      <w:r w:rsidR="00534C7D" w:rsidRPr="00534C7D">
        <w:t>the rate of fluorescence increase which is the gradient of the fluorescent response between 0-5 hrs</w:t>
      </w:r>
      <w:r w:rsidR="00534C7D">
        <w:t xml:space="preserve">. </w:t>
      </w:r>
      <w:r w:rsidRPr="00C400CA">
        <w:t>Error bars repre</w:t>
      </w:r>
      <w:r>
        <w:t>sent the standard error from replicates obtained from over 4 days separately</w:t>
      </w:r>
      <w:r w:rsidRPr="00C400CA">
        <w:t xml:space="preserve">. </w:t>
      </w:r>
    </w:p>
    <w:p w14:paraId="6BDAE314" w14:textId="660D7373" w:rsidR="000E53EA" w:rsidRDefault="00284DF6" w:rsidP="000E53EA">
      <w:r>
        <w:rPr>
          <w:noProof/>
        </w:rPr>
        <w:drawing>
          <wp:inline distT="0" distB="0" distL="0" distR="0" wp14:anchorId="2D12E6A9" wp14:editId="2E6EB923">
            <wp:extent cx="594360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38500"/>
                    </a:xfrm>
                    <a:prstGeom prst="rect">
                      <a:avLst/>
                    </a:prstGeom>
                  </pic:spPr>
                </pic:pic>
              </a:graphicData>
            </a:graphic>
          </wp:inline>
        </w:drawing>
      </w:r>
    </w:p>
    <w:p w14:paraId="47466370" w14:textId="7D4F6B1D" w:rsidR="000E53EA" w:rsidRDefault="000E53EA" w:rsidP="000E53EA">
      <w:r w:rsidRPr="001C2FEA">
        <w:lastRenderedPageBreak/>
        <w:t xml:space="preserve"> </w:t>
      </w:r>
      <w:r w:rsidRPr="00C400CA">
        <w:t xml:space="preserve">Fig </w:t>
      </w:r>
      <w:r w:rsidR="00364027">
        <w:t>C</w:t>
      </w:r>
      <w:r w:rsidRPr="00C400CA">
        <w:t xml:space="preserve">: The fold changes in the </w:t>
      </w:r>
      <w:proofErr w:type="spellStart"/>
      <w:r w:rsidRPr="00C400CA">
        <w:t>LacZ</w:t>
      </w:r>
      <w:proofErr w:type="spellEnd"/>
      <w:r w:rsidRPr="00C400CA">
        <w:t xml:space="preserve"> expression of each tester A, B, C, D and E respectively, when mixed with its cognate producer supernatant</w:t>
      </w:r>
      <w:r>
        <w:t>. Each symbol replicates a trial that was run on a separate day. The response of the tester</w:t>
      </w:r>
      <w:r w:rsidR="0059035F">
        <w:t>s</w:t>
      </w:r>
      <w:r>
        <w:t xml:space="preserve"> were consistent throughout the dates.</w:t>
      </w:r>
      <w:r w:rsidR="00284DF6">
        <w:t xml:space="preserve"> The dates were spread out during three weeks</w:t>
      </w:r>
      <w:proofErr w:type="gramStart"/>
      <w:r w:rsidR="00284DF6">
        <w:t>.</w:t>
      </w:r>
      <w:r>
        <w:t xml:space="preserve"> </w:t>
      </w:r>
      <w:r w:rsidRPr="00C400CA">
        <w:t xml:space="preserve"> </w:t>
      </w:r>
      <w:proofErr w:type="gramEnd"/>
      <w:r w:rsidR="00534C7D">
        <w:t>The error bars indicated are the standard error from 2 sets of replicate run on the same day.</w:t>
      </w:r>
    </w:p>
    <w:p w14:paraId="7261A31D" w14:textId="77777777" w:rsidR="000E53EA" w:rsidRPr="00C400CA" w:rsidRDefault="000E53EA" w:rsidP="000E53EA"/>
    <w:p w14:paraId="26BB912A" w14:textId="77777777" w:rsidR="000E53EA" w:rsidRPr="00C400CA" w:rsidRDefault="000E53EA" w:rsidP="000E53EA">
      <w:r w:rsidRPr="00C400CA">
        <w:rPr>
          <w:noProof/>
        </w:rPr>
        <w:drawing>
          <wp:inline distT="0" distB="0" distL="0" distR="0" wp14:anchorId="1424C062" wp14:editId="60F5380E">
            <wp:extent cx="5943600" cy="2845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45435"/>
                    </a:xfrm>
                    <a:prstGeom prst="rect">
                      <a:avLst/>
                    </a:prstGeom>
                  </pic:spPr>
                </pic:pic>
              </a:graphicData>
            </a:graphic>
          </wp:inline>
        </w:drawing>
      </w:r>
    </w:p>
    <w:p w14:paraId="04BCB507" w14:textId="32961CE6" w:rsidR="000E53EA" w:rsidRPr="007708F1" w:rsidRDefault="000E53EA" w:rsidP="000E53EA">
      <w:pPr>
        <w:rPr>
          <w:rFonts w:eastAsiaTheme="minorEastAsia"/>
        </w:rPr>
      </w:pPr>
      <w:r w:rsidRPr="00C400CA">
        <w:t xml:space="preserve">Fig </w:t>
      </w:r>
      <w:r w:rsidR="00364027">
        <w:t>D</w:t>
      </w:r>
      <w:r w:rsidRPr="00C400CA">
        <w:t>: Doubling times for the</w:t>
      </w:r>
      <w:r>
        <w:t xml:space="preserve"> </w:t>
      </w:r>
      <w:r w:rsidRPr="00201374">
        <w:rPr>
          <w:i/>
        </w:rPr>
        <w:t>B. subtilis</w:t>
      </w:r>
      <w:r w:rsidRPr="00C400CA">
        <w:t xml:space="preserve"> producers and testers, see methods for further details. Growth was measured by counting the colony forming units with respect to time in agar plates </w:t>
      </w:r>
      <w:r>
        <w:t xml:space="preserve">containing </w:t>
      </w:r>
      <w:r w:rsidRPr="00C400CA">
        <w:t xml:space="preserve">competence media. A linear fit was considered for the data points between 2hrs-6hrs, using the least squared fitting method and the gradient was extracted to obtain the growth rates. The estimated growth rates </w:t>
      </w:r>
      <w:r>
        <w:t>(in 1/</w:t>
      </w:r>
      <w:proofErr w:type="spellStart"/>
      <w:r>
        <w:t>hr</w:t>
      </w:r>
      <w:proofErr w:type="spellEnd"/>
      <w:r>
        <w:t xml:space="preserve">) </w:t>
      </w:r>
      <w:r w:rsidRPr="00C400CA">
        <w:t xml:space="preserve">are, </w:t>
      </w:r>
      <w:bookmarkStart w:id="1" w:name="OLE_LINK83"/>
      <w:bookmarkStart w:id="2" w:name="OLE_LINK84"/>
      <w:bookmarkStart w:id="3" w:name="OLE_LINK85"/>
      <w:bookmarkStart w:id="4" w:name="OLE_LINK86"/>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A</m:t>
                </m:r>
              </m:sub>
            </m:sSub>
          </m:sub>
        </m:sSub>
        <m:r>
          <w:rPr>
            <w:rFonts w:ascii="Cambria Math" w:eastAsiaTheme="minorEastAsia" w:hAnsi="Cambria Math"/>
            <w:vertAlign w:val="subscript"/>
          </w:rPr>
          <m:t>=0.920</m:t>
        </m:r>
      </m:oMath>
      <w:bookmarkEnd w:id="1"/>
      <w:bookmarkEnd w:id="2"/>
      <w:bookmarkEnd w:id="3"/>
      <w:bookmarkEnd w:id="4"/>
      <w:r w:rsidRPr="00C400CA">
        <w:rPr>
          <w:rFonts w:eastAsiaTheme="minorEastAsia"/>
          <w:vertAlign w:val="subscript"/>
        </w:rPr>
        <w:t xml:space="preserve">, </w:t>
      </w:r>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B</m:t>
                </m:r>
              </m:sub>
            </m:sSub>
          </m:sub>
        </m:sSub>
        <m:r>
          <w:rPr>
            <w:rFonts w:ascii="Cambria Math" w:eastAsiaTheme="minorEastAsia" w:hAnsi="Cambria Math"/>
            <w:vertAlign w:val="subscript"/>
          </w:rPr>
          <m:t>=1.009</m:t>
        </m:r>
      </m:oMath>
      <w:r w:rsidRPr="00C400CA">
        <w:rPr>
          <w:rFonts w:eastAsiaTheme="minorEastAsia"/>
          <w:vertAlign w:val="subscript"/>
        </w:rPr>
        <w:t xml:space="preserve">, </w:t>
      </w:r>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C</m:t>
                </m:r>
              </m:sub>
            </m:sSub>
          </m:sub>
        </m:sSub>
        <m:r>
          <w:rPr>
            <w:rFonts w:ascii="Cambria Math" w:eastAsiaTheme="minorEastAsia" w:hAnsi="Cambria Math"/>
            <w:vertAlign w:val="subscript"/>
          </w:rPr>
          <m:t>=0.924</m:t>
        </m:r>
      </m:oMath>
      <w:r w:rsidRPr="00C400CA">
        <w:rPr>
          <w:rFonts w:eastAsiaTheme="minorEastAsia"/>
          <w:vertAlign w:val="subscript"/>
        </w:rPr>
        <w:t xml:space="preserve">, </w:t>
      </w:r>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D</m:t>
                </m:r>
              </m:sub>
            </m:sSub>
          </m:sub>
        </m:sSub>
        <m:r>
          <w:rPr>
            <w:rFonts w:ascii="Cambria Math" w:eastAsiaTheme="minorEastAsia" w:hAnsi="Cambria Math"/>
            <w:vertAlign w:val="subscript"/>
          </w:rPr>
          <m:t>=0.918</m:t>
        </m:r>
      </m:oMath>
      <w:r w:rsidRPr="00C400CA">
        <w:rPr>
          <w:rFonts w:eastAsiaTheme="minorEastAsia"/>
          <w:vertAlign w:val="subscript"/>
        </w:rPr>
        <w:t xml:space="preserve">, </w:t>
      </w:r>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E</m:t>
                </m:r>
              </m:sub>
            </m:sSub>
          </m:sub>
        </m:sSub>
        <m:r>
          <w:rPr>
            <w:rFonts w:ascii="Cambria Math" w:eastAsiaTheme="minorEastAsia" w:hAnsi="Cambria Math"/>
            <w:vertAlign w:val="subscript"/>
          </w:rPr>
          <m:t>=0.937</m:t>
        </m:r>
      </m:oMath>
      <w:r w:rsidRPr="00C400CA">
        <w:rPr>
          <w:rFonts w:eastAsiaTheme="minorEastAsia"/>
          <w:vertAlign w:val="subscript"/>
        </w:rPr>
        <w:t xml:space="preserve">, </w:t>
      </w:r>
      <w:bookmarkStart w:id="5" w:name="OLE_LINK87"/>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A</m:t>
                </m:r>
              </m:sub>
            </m:sSub>
          </m:sub>
        </m:sSub>
        <m:r>
          <w:rPr>
            <w:rFonts w:ascii="Cambria Math" w:eastAsiaTheme="minorEastAsia" w:hAnsi="Cambria Math"/>
            <w:vertAlign w:val="subscript"/>
          </w:rPr>
          <m:t>=0.</m:t>
        </m:r>
        <w:bookmarkEnd w:id="5"/>
        <m:r>
          <w:rPr>
            <w:rFonts w:ascii="Cambria Math" w:eastAsiaTheme="minorEastAsia" w:hAnsi="Cambria Math"/>
            <w:vertAlign w:val="subscript"/>
          </w:rPr>
          <m:t>916</m:t>
        </m:r>
      </m:oMath>
      <w:r w:rsidRPr="00C400CA">
        <w:rPr>
          <w:rFonts w:eastAsiaTheme="minorEastAsia"/>
          <w:vertAlign w:val="subscript"/>
        </w:rPr>
        <w:t xml:space="preserve">, </w:t>
      </w:r>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B</m:t>
                </m:r>
              </m:sub>
            </m:sSub>
          </m:sub>
        </m:sSub>
        <m:r>
          <w:rPr>
            <w:rFonts w:ascii="Cambria Math" w:eastAsiaTheme="minorEastAsia" w:hAnsi="Cambria Math"/>
            <w:vertAlign w:val="subscript"/>
          </w:rPr>
          <m:t>=0.990</m:t>
        </m:r>
      </m:oMath>
      <w:r w:rsidRPr="00C400CA">
        <w:rPr>
          <w:rFonts w:eastAsiaTheme="minorEastAsia"/>
          <w:vertAlign w:val="subscript"/>
        </w:rPr>
        <w:t>,</w:t>
      </w:r>
      <m:oMath>
        <m:r>
          <m:rPr>
            <m:sty m:val="p"/>
          </m:rPr>
          <w:rPr>
            <w:rFonts w:ascii="Cambria Math" w:hAnsi="Cambria Math"/>
            <w:vertAlign w:val="subscript"/>
          </w:rPr>
          <m:t xml:space="preserve"> </m:t>
        </m:r>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C</m:t>
                </m:r>
              </m:sub>
            </m:sSub>
          </m:sub>
        </m:sSub>
        <m:r>
          <w:rPr>
            <w:rFonts w:ascii="Cambria Math" w:eastAsiaTheme="minorEastAsia" w:hAnsi="Cambria Math"/>
            <w:vertAlign w:val="subscript"/>
          </w:rPr>
          <m:t>=0.943</m:t>
        </m:r>
      </m:oMath>
      <w:r w:rsidRPr="00C400CA">
        <w:rPr>
          <w:rFonts w:eastAsiaTheme="minorEastAsia"/>
          <w:vertAlign w:val="subscript"/>
        </w:rPr>
        <w:t xml:space="preserve">, </w:t>
      </w:r>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D</m:t>
                </m:r>
              </m:sub>
            </m:sSub>
          </m:sub>
        </m:sSub>
        <m:r>
          <w:rPr>
            <w:rFonts w:ascii="Cambria Math" w:eastAsiaTheme="minorEastAsia" w:hAnsi="Cambria Math"/>
            <w:vertAlign w:val="subscript"/>
          </w:rPr>
          <m:t>=0.926</m:t>
        </m:r>
      </m:oMath>
      <w:r w:rsidRPr="00C400CA">
        <w:rPr>
          <w:rFonts w:eastAsiaTheme="minorEastAsia"/>
          <w:vertAlign w:val="subscript"/>
        </w:rPr>
        <w:t xml:space="preserve">, </w:t>
      </w:r>
      <m:oMath>
        <m:sSub>
          <m:sSubPr>
            <m:ctrlPr>
              <w:rPr>
                <w:rFonts w:ascii="Cambria Math" w:hAnsi="Cambria Math"/>
                <w:vertAlign w:val="subscript"/>
              </w:rPr>
            </m:ctrlPr>
          </m:sSubPr>
          <m:e>
            <m:r>
              <w:rPr>
                <w:rFonts w:ascii="Cambria Math" w:hAnsi="Cambria Math"/>
                <w:vertAlign w:val="subscript"/>
              </w:rPr>
              <m:t>µ</m:t>
            </m:r>
          </m:e>
          <m:sub>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E</m:t>
                </m:r>
              </m:sub>
            </m:sSub>
          </m:sub>
        </m:sSub>
        <m:r>
          <w:rPr>
            <w:rFonts w:ascii="Cambria Math" w:eastAsiaTheme="minorEastAsia" w:hAnsi="Cambria Math"/>
            <w:vertAlign w:val="subscript"/>
          </w:rPr>
          <m:t>=0.916</m:t>
        </m:r>
      </m:oMath>
      <w:r w:rsidRPr="00C400CA">
        <w:rPr>
          <w:rFonts w:eastAsiaTheme="minorEastAsia"/>
          <w:vertAlign w:val="subscript"/>
        </w:rPr>
        <w:t>.</w:t>
      </w:r>
      <w:r>
        <w:rPr>
          <w:rFonts w:eastAsiaTheme="minorEastAsia"/>
          <w:vertAlign w:val="subscript"/>
        </w:rPr>
        <w:t xml:space="preserve"> </w:t>
      </w:r>
      <w:proofErr w:type="spellStart"/>
      <w:r>
        <w:rPr>
          <w:rFonts w:eastAsiaTheme="minorEastAsia"/>
        </w:rPr>
        <w:t>Errorbars</w:t>
      </w:r>
      <w:proofErr w:type="spellEnd"/>
      <w:r>
        <w:rPr>
          <w:rFonts w:eastAsiaTheme="minorEastAsia"/>
        </w:rPr>
        <w:t xml:space="preserve"> are the standard deviation from three sets of trials.</w:t>
      </w:r>
    </w:p>
    <w:p w14:paraId="56798CEE" w14:textId="77777777" w:rsidR="000E53EA" w:rsidRPr="00C400CA" w:rsidRDefault="000E53EA" w:rsidP="000E53EA">
      <w:pPr>
        <w:rPr>
          <w:rFonts w:eastAsiaTheme="minorEastAsia"/>
          <w:vertAlign w:val="subscript"/>
        </w:rPr>
      </w:pPr>
    </w:p>
    <w:p w14:paraId="102079EE" w14:textId="77777777" w:rsidR="000E53EA" w:rsidRPr="00C400CA" w:rsidRDefault="000E53EA" w:rsidP="000E53EA"/>
    <w:tbl>
      <w:tblPr>
        <w:tblStyle w:val="TableGrid"/>
        <w:tblW w:w="10183" w:type="dxa"/>
        <w:tblLook w:val="04A0" w:firstRow="1" w:lastRow="0" w:firstColumn="1" w:lastColumn="0" w:noHBand="0" w:noVBand="1"/>
      </w:tblPr>
      <w:tblGrid>
        <w:gridCol w:w="3393"/>
        <w:gridCol w:w="3395"/>
        <w:gridCol w:w="3395"/>
      </w:tblGrid>
      <w:tr w:rsidR="000E53EA" w:rsidRPr="00C400CA" w14:paraId="1481A0C3" w14:textId="77777777" w:rsidTr="00DD4F4B">
        <w:trPr>
          <w:trHeight w:val="525"/>
        </w:trPr>
        <w:tc>
          <w:tcPr>
            <w:tcW w:w="3393" w:type="dxa"/>
          </w:tcPr>
          <w:p w14:paraId="48F24F6A" w14:textId="77777777" w:rsidR="000E53EA" w:rsidRPr="00C400CA" w:rsidRDefault="000E53EA" w:rsidP="00DD4F4B">
            <w:pPr>
              <w:jc w:val="center"/>
            </w:pPr>
            <w:r w:rsidRPr="00C400CA">
              <w:t>Parameter</w:t>
            </w:r>
          </w:p>
        </w:tc>
        <w:tc>
          <w:tcPr>
            <w:tcW w:w="3395" w:type="dxa"/>
          </w:tcPr>
          <w:p w14:paraId="12DD78F1" w14:textId="77777777" w:rsidR="000E53EA" w:rsidRPr="00C400CA" w:rsidRDefault="000E53EA" w:rsidP="00DD4F4B">
            <w:pPr>
              <w:jc w:val="center"/>
            </w:pPr>
            <w:r w:rsidRPr="00C400CA">
              <w:t>Value</w:t>
            </w:r>
          </w:p>
        </w:tc>
        <w:tc>
          <w:tcPr>
            <w:tcW w:w="3395" w:type="dxa"/>
          </w:tcPr>
          <w:p w14:paraId="55756A73" w14:textId="77777777" w:rsidR="000E53EA" w:rsidRPr="00C400CA" w:rsidRDefault="000E53EA" w:rsidP="00DD4F4B">
            <w:pPr>
              <w:jc w:val="center"/>
            </w:pPr>
            <w:r w:rsidRPr="00C400CA">
              <w:t>Obtained from</w:t>
            </w:r>
          </w:p>
        </w:tc>
      </w:tr>
      <w:tr w:rsidR="000E53EA" w:rsidRPr="00C400CA" w14:paraId="3D884BB5" w14:textId="77777777" w:rsidTr="00DD4F4B">
        <w:trPr>
          <w:trHeight w:val="635"/>
        </w:trPr>
        <w:tc>
          <w:tcPr>
            <w:tcW w:w="3393" w:type="dxa"/>
          </w:tcPr>
          <w:p w14:paraId="4C010A4B" w14:textId="77777777" w:rsidR="000E53EA" w:rsidRPr="00C400CA" w:rsidRDefault="00F62114" w:rsidP="00DD4F4B">
            <w:pPr>
              <w:jc w:val="center"/>
            </w:pPr>
            <m:oMathPara>
              <m:oMath>
                <m:sSub>
                  <m:sSubPr>
                    <m:ctrlPr>
                      <w:rPr>
                        <w:rFonts w:ascii="Cambria Math" w:hAnsi="Cambria Math"/>
                        <w:i/>
                      </w:rPr>
                    </m:ctrlPr>
                  </m:sSubPr>
                  <m:e>
                    <m:r>
                      <w:rPr>
                        <w:rFonts w:ascii="Cambria Math" w:hAnsi="Cambria Math"/>
                      </w:rPr>
                      <m:t>μ</m:t>
                    </m:r>
                  </m:e>
                  <m:sub>
                    <m:r>
                      <w:rPr>
                        <w:rFonts w:ascii="Cambria Math" w:hAnsi="Cambria Math"/>
                      </w:rPr>
                      <m:t>i</m:t>
                    </m:r>
                  </m:sub>
                </m:sSub>
              </m:oMath>
            </m:oMathPara>
          </w:p>
        </w:tc>
        <w:tc>
          <w:tcPr>
            <w:tcW w:w="3395" w:type="dxa"/>
          </w:tcPr>
          <w:p w14:paraId="5EF4B496" w14:textId="77777777" w:rsidR="000E53EA" w:rsidRPr="00C400CA" w:rsidRDefault="000E53EA" w:rsidP="00DD4F4B">
            <w:pPr>
              <w:jc w:val="center"/>
            </w:pPr>
            <w:r w:rsidRPr="00C400CA">
              <w:t>0.916-1.009 hrs</w:t>
            </w:r>
            <w:r w:rsidRPr="00C400CA">
              <w:rPr>
                <w:vertAlign w:val="superscript"/>
              </w:rPr>
              <w:t xml:space="preserve">-1 </w:t>
            </w:r>
          </w:p>
        </w:tc>
        <w:tc>
          <w:tcPr>
            <w:tcW w:w="3395" w:type="dxa"/>
          </w:tcPr>
          <w:p w14:paraId="6CC0DA6C" w14:textId="77777777" w:rsidR="000E53EA" w:rsidRPr="00C400CA" w:rsidRDefault="000E53EA" w:rsidP="00DD4F4B">
            <w:pPr>
              <w:jc w:val="center"/>
            </w:pPr>
            <w:r w:rsidRPr="00C400CA">
              <w:t>Calcu</w:t>
            </w:r>
            <w:r>
              <w:t>lated in this study, see Fig. S4</w:t>
            </w:r>
          </w:p>
        </w:tc>
      </w:tr>
      <w:tr w:rsidR="000E53EA" w:rsidRPr="00C400CA" w14:paraId="22F84255" w14:textId="77777777" w:rsidTr="00DD4F4B">
        <w:trPr>
          <w:trHeight w:val="525"/>
        </w:trPr>
        <w:tc>
          <w:tcPr>
            <w:tcW w:w="3393" w:type="dxa"/>
          </w:tcPr>
          <w:p w14:paraId="30CD3CF1" w14:textId="77777777" w:rsidR="000E53EA" w:rsidRPr="00C400CA" w:rsidRDefault="000E53EA" w:rsidP="00DD4F4B">
            <w:pPr>
              <w:jc w:val="center"/>
            </w:pPr>
            <m:oMathPara>
              <m:oMath>
                <m:r>
                  <w:rPr>
                    <w:rFonts w:ascii="Cambria Math" w:hAnsi="Cambria Math"/>
                  </w:rPr>
                  <m:t>s</m:t>
                </m:r>
              </m:oMath>
            </m:oMathPara>
          </w:p>
        </w:tc>
        <w:tc>
          <w:tcPr>
            <w:tcW w:w="3395" w:type="dxa"/>
          </w:tcPr>
          <w:p w14:paraId="4CA7A964" w14:textId="77777777" w:rsidR="000E53EA" w:rsidRPr="00C400CA" w:rsidRDefault="000E53EA" w:rsidP="00DD4F4B">
            <w:pPr>
              <w:jc w:val="center"/>
            </w:pPr>
            <w:r w:rsidRPr="00C400CA">
              <w:t>10</w:t>
            </w:r>
            <w:r w:rsidRPr="00C400CA">
              <w:rPr>
                <w:vertAlign w:val="superscript"/>
              </w:rPr>
              <w:t xml:space="preserve">9 </w:t>
            </w:r>
            <w:r w:rsidRPr="00C400CA">
              <w:t>cells ml</w:t>
            </w:r>
            <w:r w:rsidRPr="00C400CA">
              <w:rPr>
                <w:vertAlign w:val="superscript"/>
              </w:rPr>
              <w:t xml:space="preserve">-1 </w:t>
            </w:r>
          </w:p>
        </w:tc>
        <w:tc>
          <w:tcPr>
            <w:tcW w:w="3395" w:type="dxa"/>
          </w:tcPr>
          <w:p w14:paraId="571A31E0" w14:textId="77777777" w:rsidR="000E53EA" w:rsidRPr="00C400CA" w:rsidRDefault="000E53EA" w:rsidP="00DD4F4B">
            <w:pPr>
              <w:jc w:val="center"/>
            </w:pPr>
            <w:r w:rsidRPr="00C400CA">
              <w:t xml:space="preserve">Silva </w:t>
            </w:r>
            <w:r w:rsidRPr="00C400CA">
              <w:rPr>
                <w:i/>
              </w:rPr>
              <w:t>et al.</w:t>
            </w:r>
            <w:r w:rsidRPr="00C400CA">
              <w:t xml:space="preserve"> (2017) </w:t>
            </w:r>
            <w:r w:rsidRPr="00C400CA">
              <w:fldChar w:fldCharType="begin" w:fldLock="1"/>
            </w:r>
            <w:r>
              <w:instrText>ADDIN CSL_CITATION {"citationItems":[{"id":"ITEM-1","itemData":{"DOI":"10.1016/j.bpj.2017.01.010","ISSN":"00063495","author":[{"dropping-particle":"","family":"Silva","given":"Kalinga Pavan","non-dropping-particle":"","parse-names":false,"suffix":""},{"dropping-particle":"","family":"Chellamuthu","given":"Prithiviraj","non-dropping-particle":"","parse-names":false,"suffix":""},{"dropping-particle":"","family":"Boedicker","given":"James Q.","non-dropping-particle":"","parse-names":false,"suffix":""}],"container-title":"Biophysical Journal","id":"ITEM-1","issue":"5","issued":{"date-parts":[["2017"]]},"note":"NULL","page":"1037-1044","publisher":"Biophysical Society","title":"Signal Destruction Tunes the Zone of Activation in Spatially Distributed Signaling Networks","type":"article-journal","volume":"112"},"uris":["http://www.mendeley.com/documents/?uuid=63a3c26b-40b4-4c71-8bca-dffe0af98bd0"]}],"mendeley":{"formattedCitation":"[36]","plainTextFormattedCitation":"[36]","previouslyFormattedCitation":"[36]"},"properties":{"noteIndex":0},"schema":"https://github.com/citation-style-language/schema/raw/master/csl-citation.json"}</w:instrText>
            </w:r>
            <w:r w:rsidRPr="00C400CA">
              <w:fldChar w:fldCharType="separate"/>
            </w:r>
            <w:r w:rsidRPr="005F5758">
              <w:rPr>
                <w:noProof/>
              </w:rPr>
              <w:t>[36]</w:t>
            </w:r>
            <w:r w:rsidRPr="00C400CA">
              <w:fldChar w:fldCharType="end"/>
            </w:r>
          </w:p>
        </w:tc>
      </w:tr>
      <w:tr w:rsidR="000E53EA" w:rsidRPr="00C400CA" w14:paraId="54C9E76A" w14:textId="77777777" w:rsidTr="00DD4F4B">
        <w:trPr>
          <w:trHeight w:val="506"/>
        </w:trPr>
        <w:tc>
          <w:tcPr>
            <w:tcW w:w="3393" w:type="dxa"/>
          </w:tcPr>
          <w:p w14:paraId="29157632" w14:textId="77777777" w:rsidR="000E53EA" w:rsidRPr="00C400CA" w:rsidRDefault="00F62114" w:rsidP="00DD4F4B">
            <w:pPr>
              <w:jc w:val="center"/>
            </w:pPr>
            <m:oMathPara>
              <m:oMath>
                <m:sSub>
                  <m:sSubPr>
                    <m:ctrlPr>
                      <w:rPr>
                        <w:rFonts w:ascii="Cambria Math" w:hAnsi="Cambria Math"/>
                        <w:i/>
                      </w:rPr>
                    </m:ctrlPr>
                  </m:sSubPr>
                  <m:e>
                    <m:r>
                      <w:rPr>
                        <w:rFonts w:ascii="Cambria Math" w:hAnsi="Cambria Math"/>
                      </w:rPr>
                      <m:t>ρ</m:t>
                    </m:r>
                  </m:e>
                  <m:sub>
                    <m:r>
                      <w:rPr>
                        <w:rFonts w:ascii="Cambria Math" w:hAnsi="Cambria Math"/>
                      </w:rPr>
                      <m:t>L</m:t>
                    </m:r>
                  </m:sub>
                </m:sSub>
              </m:oMath>
            </m:oMathPara>
          </w:p>
        </w:tc>
        <w:tc>
          <w:tcPr>
            <w:tcW w:w="3395" w:type="dxa"/>
          </w:tcPr>
          <w:p w14:paraId="3764224C" w14:textId="77777777" w:rsidR="000E53EA" w:rsidRPr="00C400CA" w:rsidRDefault="000E53EA" w:rsidP="00DD4F4B">
            <w:pPr>
              <w:jc w:val="center"/>
            </w:pPr>
            <w:bookmarkStart w:id="6" w:name="OLE_LINK99"/>
            <w:bookmarkStart w:id="7" w:name="OLE_LINK100"/>
            <w:r w:rsidRPr="00C400CA">
              <w:t>3.180 x 10</w:t>
            </w:r>
            <w:r w:rsidRPr="00C400CA">
              <w:rPr>
                <w:vertAlign w:val="superscript"/>
              </w:rPr>
              <w:t>-7</w:t>
            </w:r>
            <w:r w:rsidRPr="00C400CA">
              <w:t xml:space="preserve"> </w:t>
            </w:r>
            <w:proofErr w:type="spellStart"/>
            <w:r w:rsidRPr="00C400CA">
              <w:t>nM</w:t>
            </w:r>
            <w:proofErr w:type="spellEnd"/>
            <w:r w:rsidRPr="00C400CA">
              <w:t xml:space="preserve"> cell</w:t>
            </w:r>
            <w:r w:rsidRPr="00C400CA">
              <w:rPr>
                <w:vertAlign w:val="superscript"/>
              </w:rPr>
              <w:t>−1</w:t>
            </w:r>
            <w:r w:rsidRPr="00C400CA">
              <w:t xml:space="preserve"> hrs</w:t>
            </w:r>
            <w:r w:rsidRPr="00C400CA">
              <w:rPr>
                <w:vertAlign w:val="superscript"/>
              </w:rPr>
              <w:t xml:space="preserve">−1 </w:t>
            </w:r>
            <w:bookmarkEnd w:id="6"/>
            <w:bookmarkEnd w:id="7"/>
          </w:p>
        </w:tc>
        <w:tc>
          <w:tcPr>
            <w:tcW w:w="3395" w:type="dxa"/>
          </w:tcPr>
          <w:p w14:paraId="1784980D" w14:textId="77777777" w:rsidR="000E53EA" w:rsidRPr="00C400CA" w:rsidRDefault="000E53EA" w:rsidP="00DD4F4B">
            <w:pPr>
              <w:jc w:val="center"/>
            </w:pPr>
            <w:r w:rsidRPr="00C400CA">
              <w:rPr>
                <w:noProof/>
              </w:rPr>
              <w:t xml:space="preserve">Haustenne </w:t>
            </w:r>
            <w:r w:rsidRPr="00C400CA">
              <w:rPr>
                <w:i/>
                <w:noProof/>
              </w:rPr>
              <w:t>et al.</w:t>
            </w:r>
            <w:r w:rsidRPr="00C400CA">
              <w:rPr>
                <w:noProof/>
              </w:rPr>
              <w:t xml:space="preserve"> (2015)</w:t>
            </w:r>
            <w:r w:rsidRPr="00C400CA">
              <w:rPr>
                <w:vertAlign w:val="superscript"/>
              </w:rPr>
              <w:t xml:space="preserve"> </w:t>
            </w:r>
            <w:r w:rsidRPr="00C400CA">
              <w:rPr>
                <w:vertAlign w:val="superscript"/>
              </w:rPr>
              <w:fldChar w:fldCharType="begin" w:fldLock="1"/>
            </w:r>
            <w:r>
              <w:rPr>
                <w:vertAlign w:val="superscript"/>
              </w:rPr>
              <w:instrText>ADDIN CSL_CITATION {"citationItems":[{"id":"ITEM-1","itemData":{"DOI":"10.3389/fmicb.2015.01413","author":[{"dropping-particle":"","family":"Haustenne","given":"Laurie","non-dropping-particle":"","parse-names":false,"suffix":""},{"dropping-particle":"","family":"Bastin","given":"Georges","non-dropping-particle":"","parse-names":false,"suffix":""},{"dropping-particle":"","family":"Hols","given":"Pascal","non-dropping-particle":"","parse-names":false,"suffix":""},{"dropping-particle":"","family":"Fontaine","given":"Laetitia","non-dropping-particle":"","parse-names":false,"suffix":""}],"container-title":"Frontiers in Microbiology","id":"ITEM-1","issue":"December","issued":{"date-parts":[["2015"]]},"page":"1-20","title":"Modeling of the ComRS Signaling Pathway Reveals the Limiting Factors Controlling Competence in Streptococcus thermophilus","type":"article-journal","volume":"6"},"uris":["http://www.mendeley.com/documents/?uuid=67089eb3-622a-432a-86a5-6271f8da1a9b"]}],"mendeley":{"formattedCitation":"[40]","plainTextFormattedCitation":"[40]","previouslyFormattedCitation":"[40]"},"properties":{"noteIndex":0},"schema":"https://github.com/citation-style-language/schema/raw/master/csl-citation.json"}</w:instrText>
            </w:r>
            <w:r w:rsidRPr="00C400CA">
              <w:rPr>
                <w:vertAlign w:val="superscript"/>
              </w:rPr>
              <w:fldChar w:fldCharType="separate"/>
            </w:r>
            <w:r w:rsidRPr="005F5758">
              <w:rPr>
                <w:noProof/>
              </w:rPr>
              <w:t>[40]</w:t>
            </w:r>
            <w:r w:rsidRPr="00C400CA">
              <w:rPr>
                <w:vertAlign w:val="superscript"/>
              </w:rPr>
              <w:fldChar w:fldCharType="end"/>
            </w:r>
          </w:p>
        </w:tc>
      </w:tr>
      <w:bookmarkStart w:id="8" w:name="OLE_LINK101"/>
      <w:bookmarkStart w:id="9" w:name="OLE_LINK102"/>
      <w:bookmarkStart w:id="10" w:name="OLE_LINK103"/>
      <w:tr w:rsidR="000E53EA" w:rsidRPr="00C400CA" w14:paraId="68B0B5B8" w14:textId="77777777" w:rsidTr="00DD4F4B">
        <w:trPr>
          <w:trHeight w:val="525"/>
        </w:trPr>
        <w:tc>
          <w:tcPr>
            <w:tcW w:w="3393" w:type="dxa"/>
          </w:tcPr>
          <w:p w14:paraId="60BFAC4A" w14:textId="77777777" w:rsidR="000E53EA" w:rsidRPr="00C400CA" w:rsidRDefault="00F62114" w:rsidP="00DD4F4B">
            <w:pPr>
              <w:jc w:val="center"/>
            </w:pPr>
            <m:oMathPara>
              <m:oMath>
                <m:sSub>
                  <m:sSubPr>
                    <m:ctrlPr>
                      <w:rPr>
                        <w:rFonts w:ascii="Cambria Math" w:hAnsi="Cambria Math"/>
                        <w:i/>
                      </w:rPr>
                    </m:ctrlPr>
                  </m:sSubPr>
                  <m:e>
                    <m:r>
                      <w:rPr>
                        <w:rFonts w:ascii="Cambria Math" w:hAnsi="Cambria Math"/>
                      </w:rPr>
                      <m:t>γ</m:t>
                    </m:r>
                  </m:e>
                  <m:sub>
                    <m:r>
                      <w:rPr>
                        <w:rFonts w:ascii="Cambria Math" w:hAnsi="Cambria Math"/>
                      </w:rPr>
                      <m:t>L</m:t>
                    </m:r>
                  </m:sub>
                </m:sSub>
              </m:oMath>
            </m:oMathPara>
            <w:bookmarkEnd w:id="8"/>
            <w:bookmarkEnd w:id="9"/>
            <w:bookmarkEnd w:id="10"/>
          </w:p>
        </w:tc>
        <w:tc>
          <w:tcPr>
            <w:tcW w:w="3395" w:type="dxa"/>
          </w:tcPr>
          <w:p w14:paraId="34418A78" w14:textId="77777777" w:rsidR="000E53EA" w:rsidRPr="00C400CA" w:rsidRDefault="000E53EA" w:rsidP="00DD4F4B">
            <w:pPr>
              <w:jc w:val="center"/>
            </w:pPr>
            <w:bookmarkStart w:id="11" w:name="OLE_LINK109"/>
            <w:bookmarkStart w:id="12" w:name="OLE_LINK110"/>
            <w:r w:rsidRPr="00C400CA">
              <w:t>0.600 hrs</w:t>
            </w:r>
            <w:r w:rsidRPr="00C400CA">
              <w:rPr>
                <w:vertAlign w:val="superscript"/>
              </w:rPr>
              <w:t xml:space="preserve">-1 </w:t>
            </w:r>
            <w:bookmarkEnd w:id="11"/>
            <w:bookmarkEnd w:id="12"/>
          </w:p>
        </w:tc>
        <w:tc>
          <w:tcPr>
            <w:tcW w:w="3395" w:type="dxa"/>
          </w:tcPr>
          <w:p w14:paraId="5169F389" w14:textId="77777777" w:rsidR="000E53EA" w:rsidRPr="00C400CA" w:rsidRDefault="000E53EA" w:rsidP="00DD4F4B">
            <w:pPr>
              <w:jc w:val="center"/>
            </w:pPr>
            <w:r w:rsidRPr="00C400CA">
              <w:rPr>
                <w:noProof/>
              </w:rPr>
              <w:t xml:space="preserve">Santilla </w:t>
            </w:r>
            <w:r w:rsidRPr="00C400CA">
              <w:rPr>
                <w:i/>
                <w:noProof/>
              </w:rPr>
              <w:t>et al.</w:t>
            </w:r>
            <w:r w:rsidRPr="00C400CA">
              <w:rPr>
                <w:noProof/>
              </w:rPr>
              <w:t xml:space="preserve"> (2008)</w:t>
            </w:r>
            <w:r w:rsidRPr="00C400CA">
              <w:rPr>
                <w:vertAlign w:val="superscript"/>
              </w:rPr>
              <w:t xml:space="preserve"> </w:t>
            </w:r>
            <w:r w:rsidRPr="00C400CA">
              <w:rPr>
                <w:vertAlign w:val="superscript"/>
              </w:rPr>
              <w:fldChar w:fldCharType="begin" w:fldLock="1"/>
            </w:r>
            <w:r>
              <w:rPr>
                <w:vertAlign w:val="superscript"/>
              </w:rPr>
              <w:instrText>ADDIN CSL_CITATION {"citationItems":[{"id":"ITEM-1","itemData":{"DOI":"10.1529/biophysj.107.118026","author":[{"dropping-particle":"","family":"Santilla","given":"M","non-dropping-particle":"","parse-names":false,"suffix":""}],"container-title":"Biophysical Journal","id":"ITEM-1","issue":"March","issued":{"date-parts":[["2008"]]},"page":"2065-2081","title":"Bistable Behavior in a Model of the lac Operon in Escherichia coli with Variable Growth Rate","type":"article-journal","volume":"94"},"uris":["http://www.mendeley.com/documents/?uuid=257c62f5-30a8-459f-ab96-a89822122cdd"]}],"mendeley":{"formattedCitation":"[39]","plainTextFormattedCitation":"[39]","previouslyFormattedCitation":"[39]"},"properties":{"noteIndex":0},"schema":"https://github.com/citation-style-language/schema/raw/master/csl-citation.json"}</w:instrText>
            </w:r>
            <w:r w:rsidRPr="00C400CA">
              <w:rPr>
                <w:vertAlign w:val="superscript"/>
              </w:rPr>
              <w:fldChar w:fldCharType="separate"/>
            </w:r>
            <w:r w:rsidRPr="005F5758">
              <w:rPr>
                <w:noProof/>
              </w:rPr>
              <w:t>[39]</w:t>
            </w:r>
            <w:r w:rsidRPr="00C400CA">
              <w:rPr>
                <w:vertAlign w:val="superscript"/>
              </w:rPr>
              <w:fldChar w:fldCharType="end"/>
            </w:r>
          </w:p>
        </w:tc>
      </w:tr>
      <w:tr w:rsidR="000E53EA" w:rsidRPr="00C400CA" w14:paraId="35D7F3A2" w14:textId="77777777" w:rsidTr="00DD4F4B">
        <w:trPr>
          <w:trHeight w:val="525"/>
        </w:trPr>
        <w:tc>
          <w:tcPr>
            <w:tcW w:w="3393" w:type="dxa"/>
          </w:tcPr>
          <w:p w14:paraId="5E3843B6" w14:textId="77777777" w:rsidR="000E53EA" w:rsidRPr="00C400CA" w:rsidRDefault="00F62114" w:rsidP="00DD4F4B">
            <w:pPr>
              <w:jc w:val="center"/>
            </w:pPr>
            <m:oMathPara>
              <m:oMath>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c</m:t>
                        </m:r>
                      </m:e>
                      <m:sub>
                        <m:r>
                          <w:rPr>
                            <w:rFonts w:ascii="Cambria Math" w:hAnsi="Cambria Math"/>
                          </w:rPr>
                          <m:t>i</m:t>
                        </m:r>
                      </m:sub>
                    </m:sSub>
                  </m:sub>
                </m:sSub>
              </m:oMath>
            </m:oMathPara>
          </w:p>
        </w:tc>
        <w:tc>
          <w:tcPr>
            <w:tcW w:w="3395" w:type="dxa"/>
          </w:tcPr>
          <w:p w14:paraId="2F8A7E3A" w14:textId="77777777" w:rsidR="000E53EA" w:rsidRPr="00C400CA" w:rsidRDefault="000E53EA" w:rsidP="00DD4F4B">
            <w:pPr>
              <w:jc w:val="center"/>
            </w:pPr>
            <w:r w:rsidRPr="00C400CA">
              <w:t>3.180 x 10</w:t>
            </w:r>
            <w:r w:rsidRPr="00C400CA">
              <w:rPr>
                <w:vertAlign w:val="superscript"/>
              </w:rPr>
              <w:t>-7</w:t>
            </w:r>
            <w:r w:rsidRPr="00C400CA">
              <w:t xml:space="preserve"> </w:t>
            </w:r>
            <w:proofErr w:type="spellStart"/>
            <w:r w:rsidRPr="00C400CA">
              <w:t>nM</w:t>
            </w:r>
            <w:proofErr w:type="spellEnd"/>
            <w:r w:rsidRPr="00C400CA">
              <w:t xml:space="preserve"> cell</w:t>
            </w:r>
            <w:r w:rsidRPr="00C400CA">
              <w:rPr>
                <w:vertAlign w:val="superscript"/>
              </w:rPr>
              <w:t>−1</w:t>
            </w:r>
            <w:r w:rsidRPr="00C400CA">
              <w:t xml:space="preserve"> hrs</w:t>
            </w:r>
            <w:r w:rsidRPr="00C400CA">
              <w:rPr>
                <w:vertAlign w:val="superscript"/>
              </w:rPr>
              <w:t>−</w:t>
            </w:r>
            <w:r>
              <w:rPr>
                <w:vertAlign w:val="superscript"/>
              </w:rPr>
              <w:t>1</w:t>
            </w:r>
          </w:p>
        </w:tc>
        <w:tc>
          <w:tcPr>
            <w:tcW w:w="3395" w:type="dxa"/>
          </w:tcPr>
          <w:p w14:paraId="6F193A21" w14:textId="77777777" w:rsidR="000E53EA" w:rsidRPr="00C400CA" w:rsidRDefault="000E53EA" w:rsidP="00DD4F4B">
            <w:pPr>
              <w:jc w:val="center"/>
            </w:pPr>
            <w:r w:rsidRPr="00C400CA">
              <w:rPr>
                <w:noProof/>
              </w:rPr>
              <w:t xml:space="preserve">Haustenne </w:t>
            </w:r>
            <w:r w:rsidRPr="00C400CA">
              <w:rPr>
                <w:i/>
                <w:noProof/>
              </w:rPr>
              <w:t>et al.</w:t>
            </w:r>
            <w:r w:rsidRPr="00C400CA">
              <w:rPr>
                <w:noProof/>
              </w:rPr>
              <w:t xml:space="preserve"> (2015)</w:t>
            </w:r>
            <w:r w:rsidRPr="00C400CA">
              <w:rPr>
                <w:vertAlign w:val="superscript"/>
              </w:rPr>
              <w:t xml:space="preserve"> </w:t>
            </w:r>
            <w:r w:rsidRPr="00C400CA">
              <w:rPr>
                <w:vertAlign w:val="superscript"/>
              </w:rPr>
              <w:fldChar w:fldCharType="begin" w:fldLock="1"/>
            </w:r>
            <w:r>
              <w:rPr>
                <w:vertAlign w:val="superscript"/>
              </w:rPr>
              <w:instrText>ADDIN CSL_CITATION {"citationItems":[{"id":"ITEM-1","itemData":{"DOI":"10.3389/fmicb.2015.01413","author":[{"dropping-particle":"","family":"Haustenne","given":"Laurie","non-dropping-particle":"","parse-names":false,"suffix":""},{"dropping-particle":"","family":"Bastin","given":"Georges","non-dropping-particle":"","parse-names":false,"suffix":""},{"dropping-particle":"","family":"Hols","given":"Pascal","non-dropping-particle":"","parse-names":false,"suffix":""},{"dropping-particle":"","family":"Fontaine","given":"Laetitia","non-dropping-particle":"","parse-names":false,"suffix":""}],"container-title":"Frontiers in Microbiology","id":"ITEM-1","issue":"December","issued":{"date-parts":[["2015"]]},"page":"1-20","title":"Modeling of the ComRS Signaling Pathway Reveals the Limiting Factors Controlling Competence in Streptococcus thermophilus","type":"article-journal","volume":"6"},"uris":["http://www.mendeley.com/documents/?uuid=67089eb3-622a-432a-86a5-6271f8da1a9b"]}],"mendeley":{"formattedCitation":"[40]","plainTextFormattedCitation":"[40]","previouslyFormattedCitation":"[40]"},"properties":{"noteIndex":0},"schema":"https://github.com/citation-style-language/schema/raw/master/csl-citation.json"}</w:instrText>
            </w:r>
            <w:r w:rsidRPr="00C400CA">
              <w:rPr>
                <w:vertAlign w:val="superscript"/>
              </w:rPr>
              <w:fldChar w:fldCharType="separate"/>
            </w:r>
            <w:r w:rsidRPr="005F5758">
              <w:rPr>
                <w:noProof/>
              </w:rPr>
              <w:t>[40]</w:t>
            </w:r>
            <w:r w:rsidRPr="00C400CA">
              <w:rPr>
                <w:vertAlign w:val="superscript"/>
              </w:rPr>
              <w:fldChar w:fldCharType="end"/>
            </w:r>
          </w:p>
        </w:tc>
      </w:tr>
      <w:tr w:rsidR="000E53EA" w:rsidRPr="00C400CA" w14:paraId="03BE25A3" w14:textId="77777777" w:rsidTr="00DD4F4B">
        <w:trPr>
          <w:trHeight w:val="506"/>
        </w:trPr>
        <w:tc>
          <w:tcPr>
            <w:tcW w:w="3393" w:type="dxa"/>
          </w:tcPr>
          <w:p w14:paraId="38AA5A34" w14:textId="77777777" w:rsidR="000E53EA" w:rsidRPr="00C400CA" w:rsidRDefault="00F62114" w:rsidP="00DD4F4B">
            <w:pPr>
              <w:jc w:val="center"/>
            </w:pPr>
            <m:oMathPara>
              <m:oMath>
                <m:sSub>
                  <m:sSubPr>
                    <m:ctrlPr>
                      <w:rPr>
                        <w:rFonts w:ascii="Cambria Math" w:hAnsi="Cambria Math"/>
                        <w:i/>
                      </w:rPr>
                    </m:ctrlPr>
                  </m:sSubPr>
                  <m:e>
                    <m:r>
                      <w:rPr>
                        <w:rFonts w:ascii="Cambria Math" w:hAnsi="Cambria Math"/>
                      </w:rPr>
                      <m:t>γ</m:t>
                    </m:r>
                  </m:e>
                  <m:sub>
                    <m:sSub>
                      <m:sSubPr>
                        <m:ctrlPr>
                          <w:rPr>
                            <w:rFonts w:ascii="Cambria Math" w:hAnsi="Cambria Math"/>
                            <w:i/>
                          </w:rPr>
                        </m:ctrlPr>
                      </m:sSubPr>
                      <m:e>
                        <m:r>
                          <w:rPr>
                            <w:rFonts w:ascii="Cambria Math" w:hAnsi="Cambria Math"/>
                          </w:rPr>
                          <m:t>c</m:t>
                        </m:r>
                      </m:e>
                      <m:sub>
                        <m:r>
                          <w:rPr>
                            <w:rFonts w:ascii="Cambria Math" w:hAnsi="Cambria Math"/>
                          </w:rPr>
                          <m:t>i</m:t>
                        </m:r>
                      </m:sub>
                    </m:sSub>
                  </m:sub>
                </m:sSub>
              </m:oMath>
            </m:oMathPara>
          </w:p>
        </w:tc>
        <w:tc>
          <w:tcPr>
            <w:tcW w:w="3395" w:type="dxa"/>
          </w:tcPr>
          <w:p w14:paraId="7A535A3F" w14:textId="77777777" w:rsidR="000E53EA" w:rsidRPr="00C400CA" w:rsidRDefault="000E53EA" w:rsidP="00DD4F4B">
            <w:pPr>
              <w:jc w:val="center"/>
            </w:pPr>
            <w:bookmarkStart w:id="13" w:name="OLE_LINK115"/>
            <w:bookmarkStart w:id="14" w:name="OLE_LINK116"/>
            <w:bookmarkStart w:id="15" w:name="OLE_LINK117"/>
            <w:r w:rsidRPr="00C400CA">
              <w:t>0.420 hrs</w:t>
            </w:r>
            <w:r w:rsidRPr="00C400CA">
              <w:rPr>
                <w:vertAlign w:val="superscript"/>
              </w:rPr>
              <w:t>-1</w:t>
            </w:r>
            <w:bookmarkEnd w:id="13"/>
            <w:bookmarkEnd w:id="14"/>
            <w:bookmarkEnd w:id="15"/>
          </w:p>
        </w:tc>
        <w:tc>
          <w:tcPr>
            <w:tcW w:w="3395" w:type="dxa"/>
          </w:tcPr>
          <w:p w14:paraId="6ABA2F86" w14:textId="77777777" w:rsidR="000E53EA" w:rsidRPr="00C400CA" w:rsidRDefault="000E53EA" w:rsidP="00DD4F4B">
            <w:pPr>
              <w:jc w:val="center"/>
            </w:pPr>
            <w:r w:rsidRPr="00C400CA">
              <w:rPr>
                <w:noProof/>
              </w:rPr>
              <w:t xml:space="preserve">Santilla </w:t>
            </w:r>
            <w:r w:rsidRPr="00C400CA">
              <w:rPr>
                <w:i/>
                <w:noProof/>
              </w:rPr>
              <w:t>et al.</w:t>
            </w:r>
            <w:r w:rsidRPr="00C400CA">
              <w:rPr>
                <w:noProof/>
              </w:rPr>
              <w:t xml:space="preserve"> (2008)</w:t>
            </w:r>
            <w:r w:rsidRPr="00C400CA">
              <w:rPr>
                <w:vertAlign w:val="superscript"/>
              </w:rPr>
              <w:t xml:space="preserve"> </w:t>
            </w:r>
            <w:r w:rsidRPr="00C400CA">
              <w:rPr>
                <w:vertAlign w:val="superscript"/>
              </w:rPr>
              <w:fldChar w:fldCharType="begin" w:fldLock="1"/>
            </w:r>
            <w:r>
              <w:rPr>
                <w:vertAlign w:val="superscript"/>
              </w:rPr>
              <w:instrText>ADDIN CSL_CITATION {"citationItems":[{"id":"ITEM-1","itemData":{"DOI":"10.1529/biophysj.107.118026","author":[{"dropping-particle":"","family":"Santilla","given":"M","non-dropping-particle":"","parse-names":false,"suffix":""}],"container-title":"Biophysical Journal","id":"ITEM-1","issue":"March","issued":{"date-parts":[["2008"]]},"page":"2065-2081","title":"Bistable Behavior in a Model of the lac Operon in Escherichia coli with Variable Growth Rate","type":"article-journal","volume":"94"},"uris":["http://www.mendeley.com/documents/?uuid=257c62f5-30a8-459f-ab96-a89822122cdd"]}],"mendeley":{"formattedCitation":"[39]","plainTextFormattedCitation":"[39]","previouslyFormattedCitation":"[39]"},"properties":{"noteIndex":0},"schema":"https://github.com/citation-style-language/schema/raw/master/csl-citation.json"}</w:instrText>
            </w:r>
            <w:r w:rsidRPr="00C400CA">
              <w:rPr>
                <w:vertAlign w:val="superscript"/>
              </w:rPr>
              <w:fldChar w:fldCharType="separate"/>
            </w:r>
            <w:r w:rsidRPr="005F5758">
              <w:rPr>
                <w:noProof/>
              </w:rPr>
              <w:t>[39]</w:t>
            </w:r>
            <w:r w:rsidRPr="00C400CA">
              <w:rPr>
                <w:vertAlign w:val="superscript"/>
              </w:rPr>
              <w:fldChar w:fldCharType="end"/>
            </w:r>
          </w:p>
        </w:tc>
      </w:tr>
      <w:tr w:rsidR="000E53EA" w:rsidRPr="00C400CA" w14:paraId="07058F24" w14:textId="77777777" w:rsidTr="00DD4F4B">
        <w:trPr>
          <w:trHeight w:val="506"/>
        </w:trPr>
        <w:tc>
          <w:tcPr>
            <w:tcW w:w="3393" w:type="dxa"/>
          </w:tcPr>
          <w:p w14:paraId="30B69EA8" w14:textId="77777777" w:rsidR="000E53EA" w:rsidRPr="00C400CA" w:rsidRDefault="000E53EA" w:rsidP="00DD4F4B">
            <w:pPr>
              <w:jc w:val="center"/>
              <w:rPr>
                <w:rFonts w:eastAsia="Calibri"/>
              </w:rPr>
            </w:pPr>
            <w:bookmarkStart w:id="16" w:name="OLE_LINK111"/>
            <w:bookmarkStart w:id="17" w:name="OLE_LINK112"/>
            <m:oMathPara>
              <m:oMath>
                <m:r>
                  <w:rPr>
                    <w:rFonts w:ascii="Cambria Math" w:hAnsi="Cambria Math"/>
                  </w:rPr>
                  <m:t>m</m:t>
                </m:r>
              </m:oMath>
            </m:oMathPara>
            <w:bookmarkEnd w:id="16"/>
            <w:bookmarkEnd w:id="17"/>
          </w:p>
        </w:tc>
        <w:tc>
          <w:tcPr>
            <w:tcW w:w="3395" w:type="dxa"/>
          </w:tcPr>
          <w:p w14:paraId="68F14E99" w14:textId="77777777" w:rsidR="000E53EA" w:rsidRPr="00C400CA" w:rsidRDefault="000E53EA" w:rsidP="00DD4F4B">
            <w:pPr>
              <w:jc w:val="center"/>
            </w:pPr>
            <w:r w:rsidRPr="00C400CA">
              <w:t>3</w:t>
            </w:r>
          </w:p>
        </w:tc>
        <w:tc>
          <w:tcPr>
            <w:tcW w:w="3395" w:type="dxa"/>
          </w:tcPr>
          <w:p w14:paraId="0C612CEF" w14:textId="77777777" w:rsidR="000E53EA" w:rsidRPr="00C400CA" w:rsidRDefault="000E53EA" w:rsidP="00DD4F4B">
            <w:pPr>
              <w:jc w:val="center"/>
            </w:pPr>
            <w:r w:rsidRPr="00C400CA">
              <w:rPr>
                <w:noProof/>
              </w:rPr>
              <w:t xml:space="preserve">Santilla </w:t>
            </w:r>
            <w:r w:rsidRPr="00C400CA">
              <w:rPr>
                <w:i/>
                <w:noProof/>
              </w:rPr>
              <w:t>et al.</w:t>
            </w:r>
            <w:r w:rsidRPr="00C400CA">
              <w:rPr>
                <w:noProof/>
              </w:rPr>
              <w:t xml:space="preserve"> (2008)</w:t>
            </w:r>
            <w:r w:rsidRPr="00C400CA">
              <w:rPr>
                <w:vertAlign w:val="superscript"/>
              </w:rPr>
              <w:t xml:space="preserve"> </w:t>
            </w:r>
            <w:r w:rsidRPr="00C400CA">
              <w:rPr>
                <w:vertAlign w:val="superscript"/>
              </w:rPr>
              <w:fldChar w:fldCharType="begin" w:fldLock="1"/>
            </w:r>
            <w:r>
              <w:rPr>
                <w:vertAlign w:val="superscript"/>
              </w:rPr>
              <w:instrText>ADDIN CSL_CITATION {"citationItems":[{"id":"ITEM-1","itemData":{"DOI":"10.1529/biophysj.107.118026","author":[{"dropping-particle":"","family":"Santilla","given":"M","non-dropping-particle":"","parse-names":false,"suffix":""}],"container-title":"Biophysical Journal","id":"ITEM-1","issue":"March","issued":{"date-parts":[["2008"]]},"page":"2065-2081","title":"Bistable Behavior in a Model of the lac Operon in Escherichia coli with Variable Growth Rate","type":"article-journal","volume":"94"},"uris":["http://www.mendeley.com/documents/?uuid=257c62f5-30a8-459f-ab96-a89822122cdd"]}],"mendeley":{"formattedCitation":"[39]","plainTextFormattedCitation":"[39]","previouslyFormattedCitation":"[39]"},"properties":{"noteIndex":0},"schema":"https://github.com/citation-style-language/schema/raw/master/csl-citation.json"}</w:instrText>
            </w:r>
            <w:r w:rsidRPr="00C400CA">
              <w:rPr>
                <w:vertAlign w:val="superscript"/>
              </w:rPr>
              <w:fldChar w:fldCharType="separate"/>
            </w:r>
            <w:r w:rsidRPr="005F5758">
              <w:rPr>
                <w:noProof/>
              </w:rPr>
              <w:t>[39]</w:t>
            </w:r>
            <w:r w:rsidRPr="00C400CA">
              <w:rPr>
                <w:vertAlign w:val="superscript"/>
              </w:rPr>
              <w:fldChar w:fldCharType="end"/>
            </w:r>
          </w:p>
        </w:tc>
      </w:tr>
    </w:tbl>
    <w:p w14:paraId="7B510209" w14:textId="0BFF6F17" w:rsidR="000E53EA" w:rsidRPr="00C400CA" w:rsidRDefault="000E53EA" w:rsidP="000E53EA">
      <w:r w:rsidRPr="00C400CA">
        <w:t xml:space="preserve">Table </w:t>
      </w:r>
      <w:r w:rsidR="00364027">
        <w:t>A</w:t>
      </w:r>
      <w:r w:rsidRPr="00C400CA">
        <w:t>: Parameter values used in the study for the modeling.</w:t>
      </w:r>
    </w:p>
    <w:p w14:paraId="6DC808AE" w14:textId="77777777" w:rsidR="000E53EA" w:rsidRPr="00C400CA" w:rsidRDefault="000E53EA" w:rsidP="000E53EA"/>
    <w:p w14:paraId="2E01ED54" w14:textId="77777777" w:rsidR="000E53EA" w:rsidRPr="00C400CA" w:rsidRDefault="000E53EA" w:rsidP="000E53EA"/>
    <w:p w14:paraId="1AFA7B92" w14:textId="77777777" w:rsidR="000E53EA" w:rsidRPr="00C400CA" w:rsidRDefault="000E53EA" w:rsidP="000E53EA"/>
    <w:p w14:paraId="16635187" w14:textId="77777777" w:rsidR="000E53EA" w:rsidRPr="00C400CA" w:rsidRDefault="000E53EA" w:rsidP="000E53EA">
      <w:r w:rsidRPr="00C400CA">
        <w:rPr>
          <w:noProof/>
        </w:rPr>
        <w:drawing>
          <wp:inline distT="0" distB="0" distL="0" distR="0" wp14:anchorId="3A7463BA" wp14:editId="1E22ACF7">
            <wp:extent cx="5943600" cy="3375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75660"/>
                    </a:xfrm>
                    <a:prstGeom prst="rect">
                      <a:avLst/>
                    </a:prstGeom>
                  </pic:spPr>
                </pic:pic>
              </a:graphicData>
            </a:graphic>
          </wp:inline>
        </w:drawing>
      </w:r>
    </w:p>
    <w:p w14:paraId="7B3B7870" w14:textId="7102B9F1" w:rsidR="000E53EA" w:rsidRPr="00C400CA" w:rsidRDefault="000E53EA" w:rsidP="000E53EA">
      <w:r>
        <w:t xml:space="preserve">Fig </w:t>
      </w:r>
      <w:r w:rsidR="00364027">
        <w:t>E</w:t>
      </w:r>
      <w:r w:rsidRPr="00C400CA">
        <w:t xml:space="preserve">: The root mean squared error (indicated with the color intensity) was minimized for changing values of </w:t>
      </w:r>
      <w:r w:rsidRPr="00C400CA">
        <w:rPr>
          <w:rFonts w:cs="Arial"/>
          <w:color w:val="545454"/>
          <w:shd w:val="clear" w:color="auto" w:fill="FFFFFF"/>
        </w:rPr>
        <w:t xml:space="preserve">θ </w:t>
      </w:r>
      <w:r w:rsidRPr="00C400CA">
        <w:t xml:space="preserve">and f. The </w:t>
      </w:r>
      <w:r w:rsidRPr="00C400CA">
        <w:rPr>
          <w:rFonts w:cs="Arial"/>
          <w:color w:val="545454"/>
          <w:shd w:val="clear" w:color="auto" w:fill="FFFFFF"/>
        </w:rPr>
        <w:t>θ</w:t>
      </w:r>
      <w:r w:rsidRPr="00C400CA">
        <w:t xml:space="preserve"> and f values that gave the min</w:t>
      </w:r>
      <w:r>
        <w:t>imum root mean squared error were</w:t>
      </w:r>
      <w:r w:rsidRPr="00C400CA">
        <w:t xml:space="preserve"> averaged to obtain the values used in the simulations.</w:t>
      </w:r>
    </w:p>
    <w:p w14:paraId="33885D12" w14:textId="77777777" w:rsidR="000E53EA" w:rsidRPr="00C400CA" w:rsidRDefault="000E53EA" w:rsidP="000E53EA">
      <w:r w:rsidRPr="00C400CA">
        <w:rPr>
          <w:noProof/>
        </w:rPr>
        <w:lastRenderedPageBreak/>
        <w:t xml:space="preserve"> </w:t>
      </w:r>
      <w:r w:rsidRPr="00C400CA">
        <w:rPr>
          <w:noProof/>
        </w:rPr>
        <w:drawing>
          <wp:inline distT="0" distB="0" distL="0" distR="0" wp14:anchorId="335243C4" wp14:editId="75FE8D57">
            <wp:extent cx="5943600" cy="381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16350"/>
                    </a:xfrm>
                    <a:prstGeom prst="rect">
                      <a:avLst/>
                    </a:prstGeom>
                  </pic:spPr>
                </pic:pic>
              </a:graphicData>
            </a:graphic>
          </wp:inline>
        </w:drawing>
      </w:r>
    </w:p>
    <w:p w14:paraId="11674319" w14:textId="30A58E00" w:rsidR="000E53EA" w:rsidRPr="00C400CA" w:rsidRDefault="00364027" w:rsidP="000E53EA">
      <w:r>
        <w:t>Fig F</w:t>
      </w:r>
      <w:r w:rsidR="000E53EA" w:rsidRPr="00C400CA">
        <w:t xml:space="preserve">: The best fit curves for f and </w:t>
      </w:r>
      <w:bookmarkStart w:id="18" w:name="OLE_LINK118"/>
      <w:bookmarkStart w:id="19" w:name="OLE_LINK119"/>
      <w:r w:rsidR="000E53EA" w:rsidRPr="00C400CA">
        <w:rPr>
          <w:rFonts w:cs="Arial"/>
          <w:color w:val="545454"/>
          <w:shd w:val="clear" w:color="auto" w:fill="FFFFFF"/>
        </w:rPr>
        <w:t>θ</w:t>
      </w:r>
      <w:bookmarkEnd w:id="18"/>
      <w:bookmarkEnd w:id="19"/>
      <w:r w:rsidR="000E53EA" w:rsidRPr="00C400CA">
        <w:t xml:space="preserve">. These curves, obtained from simulations, were fit by minimizing the root mean square error for changing values of both f and </w:t>
      </w:r>
      <w:r w:rsidR="000E53EA" w:rsidRPr="00C400CA">
        <w:rPr>
          <w:rFonts w:cs="Arial"/>
          <w:color w:val="545454"/>
          <w:shd w:val="clear" w:color="auto" w:fill="FFFFFF"/>
        </w:rPr>
        <w:t>θ</w:t>
      </w:r>
      <w:r w:rsidR="000E53EA" w:rsidRPr="00C400CA">
        <w:t xml:space="preserve">. Once the </w:t>
      </w:r>
      <w:r w:rsidR="000E53EA" w:rsidRPr="00C400CA">
        <w:rPr>
          <w:rFonts w:cs="Arial"/>
          <w:color w:val="545454"/>
          <w:shd w:val="clear" w:color="auto" w:fill="FFFFFF"/>
        </w:rPr>
        <w:t>θ</w:t>
      </w:r>
      <w:r w:rsidR="000E53EA" w:rsidRPr="00C400CA">
        <w:t xml:space="preserve"> was extracted, the fold change </w:t>
      </w:r>
      <w:proofErr w:type="spellStart"/>
      <w:r w:rsidR="000E53EA" w:rsidRPr="00C400CA">
        <w:t>LacZ</w:t>
      </w:r>
      <w:proofErr w:type="spellEnd"/>
      <w:r w:rsidR="000E53EA" w:rsidRPr="00C400CA">
        <w:t xml:space="preserve"> for that </w:t>
      </w:r>
      <w:r w:rsidR="000E53EA" w:rsidRPr="00C400CA">
        <w:rPr>
          <w:rFonts w:cs="Arial"/>
          <w:color w:val="545454"/>
          <w:shd w:val="clear" w:color="auto" w:fill="FFFFFF"/>
        </w:rPr>
        <w:t>θ</w:t>
      </w:r>
      <w:r w:rsidR="000E53EA" w:rsidRPr="00C400CA">
        <w:t xml:space="preserve"> </w:t>
      </w:r>
      <w:r w:rsidR="000E53EA">
        <w:t xml:space="preserve">was found from the fitted curve. The fold change at </w:t>
      </w:r>
      <w:r w:rsidR="00534C7D" w:rsidRPr="00C400CA">
        <w:rPr>
          <w:rFonts w:cs="Arial"/>
          <w:color w:val="545454"/>
          <w:shd w:val="clear" w:color="auto" w:fill="FFFFFF"/>
        </w:rPr>
        <w:t>θ</w:t>
      </w:r>
      <w:r w:rsidR="00534C7D" w:rsidRPr="00C400CA">
        <w:t xml:space="preserve"> </w:t>
      </w:r>
      <w:r w:rsidR="00534C7D">
        <w:t>was</w:t>
      </w:r>
      <w:r w:rsidR="000E53EA">
        <w:t xml:space="preserve"> defined as the </w:t>
      </w:r>
      <w:r w:rsidR="000E53EA" w:rsidRPr="00C400CA">
        <w:t>threshold needed for QS activation.</w:t>
      </w:r>
    </w:p>
    <w:p w14:paraId="4185DB77" w14:textId="77777777" w:rsidR="000E53EA" w:rsidRPr="00C400CA" w:rsidRDefault="000E53EA" w:rsidP="000E53EA"/>
    <w:p w14:paraId="474145B6" w14:textId="77777777" w:rsidR="000E53EA" w:rsidRPr="00C400CA" w:rsidRDefault="000E53EA" w:rsidP="000E53EA">
      <w:r w:rsidRPr="00C400CA">
        <w:rPr>
          <w:noProof/>
        </w:rPr>
        <w:t xml:space="preserve"> </w:t>
      </w:r>
      <w:r>
        <w:rPr>
          <w:noProof/>
        </w:rPr>
        <w:drawing>
          <wp:inline distT="0" distB="0" distL="0" distR="0" wp14:anchorId="41814C53" wp14:editId="1859E099">
            <wp:extent cx="5943600" cy="1718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18945"/>
                    </a:xfrm>
                    <a:prstGeom prst="rect">
                      <a:avLst/>
                    </a:prstGeom>
                  </pic:spPr>
                </pic:pic>
              </a:graphicData>
            </a:graphic>
          </wp:inline>
        </w:drawing>
      </w:r>
    </w:p>
    <w:p w14:paraId="2E1C3D05" w14:textId="0A1C3F97" w:rsidR="000E53EA" w:rsidRPr="00C400CA" w:rsidRDefault="000E53EA" w:rsidP="000E53EA">
      <w:r w:rsidRPr="00C400CA">
        <w:t xml:space="preserve">Fig </w:t>
      </w:r>
      <w:r w:rsidR="00364027">
        <w:t>G</w:t>
      </w:r>
      <w:r w:rsidRPr="00C400CA">
        <w:t>: The quorum sensing activation landscape for the tester A when mixed with the supernatant of producer A and the supernatant of producer A, B, C, D and E respectively (from left to right). A blue square represents quorum sensing activation off and a yellow square represents quorum sensing activation on.</w:t>
      </w:r>
      <w:r>
        <w:t xml:space="preserve"> The weight values listed on top represent the range of values that generated the same activation landscape.</w:t>
      </w:r>
    </w:p>
    <w:p w14:paraId="0C5DC3DC" w14:textId="77777777" w:rsidR="000E53EA" w:rsidRPr="00C400CA" w:rsidRDefault="000E53EA" w:rsidP="000E53EA">
      <w:r w:rsidRPr="00C400CA">
        <w:lastRenderedPageBreak/>
        <w:t xml:space="preserve"> </w:t>
      </w:r>
    </w:p>
    <w:p w14:paraId="042F76A3" w14:textId="77777777" w:rsidR="000E53EA" w:rsidRPr="00C400CA" w:rsidRDefault="000E53EA" w:rsidP="000E53EA">
      <w:r w:rsidRPr="00C400CA">
        <w:rPr>
          <w:noProof/>
        </w:rPr>
        <w:t xml:space="preserve"> </w:t>
      </w:r>
      <w:r>
        <w:rPr>
          <w:noProof/>
        </w:rPr>
        <w:drawing>
          <wp:inline distT="0" distB="0" distL="0" distR="0" wp14:anchorId="4B0A1C42" wp14:editId="5DEADF2D">
            <wp:extent cx="5943600" cy="1568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68450"/>
                    </a:xfrm>
                    <a:prstGeom prst="rect">
                      <a:avLst/>
                    </a:prstGeom>
                  </pic:spPr>
                </pic:pic>
              </a:graphicData>
            </a:graphic>
          </wp:inline>
        </w:drawing>
      </w:r>
      <w:r w:rsidRPr="00C400CA" w:rsidDel="00CD26D3">
        <w:rPr>
          <w:noProof/>
        </w:rPr>
        <w:t xml:space="preserve"> </w:t>
      </w:r>
    </w:p>
    <w:p w14:paraId="2BE70908" w14:textId="06A40A93" w:rsidR="000E53EA" w:rsidRPr="00C400CA" w:rsidRDefault="000E53EA" w:rsidP="000E53EA">
      <w:r w:rsidRPr="00C400CA">
        <w:t xml:space="preserve">Fig </w:t>
      </w:r>
      <w:r w:rsidR="00364027">
        <w:t>H</w:t>
      </w:r>
      <w:r w:rsidRPr="00C400CA">
        <w:t>: The quorum sensing activation landscape for the tester B when mixed with the supernatant of producer B and the supernatant of producer A, B, C, D and E respectively (from left to right). A blue square represents quorum sensing activation off and a yellow square represents quorum sensing activation on.</w:t>
      </w:r>
      <w:r w:rsidRPr="006C2F32">
        <w:t xml:space="preserve"> </w:t>
      </w:r>
      <w:r>
        <w:t>The weight values listed on top represent the range of values that generated the same activation landscape.</w:t>
      </w:r>
    </w:p>
    <w:p w14:paraId="59524C20" w14:textId="77777777" w:rsidR="000E53EA" w:rsidRPr="00C400CA" w:rsidRDefault="000E53EA" w:rsidP="000E53EA"/>
    <w:p w14:paraId="453F47C2" w14:textId="77777777" w:rsidR="000E53EA" w:rsidRPr="00C400CA" w:rsidRDefault="000E53EA" w:rsidP="000E53EA">
      <w:r w:rsidRPr="00C400CA">
        <w:rPr>
          <w:noProof/>
        </w:rPr>
        <w:t xml:space="preserve"> </w:t>
      </w:r>
      <w:r>
        <w:rPr>
          <w:noProof/>
        </w:rPr>
        <w:drawing>
          <wp:inline distT="0" distB="0" distL="0" distR="0" wp14:anchorId="16809AF7" wp14:editId="5EC5B27F">
            <wp:extent cx="5943600" cy="1631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31950"/>
                    </a:xfrm>
                    <a:prstGeom prst="rect">
                      <a:avLst/>
                    </a:prstGeom>
                  </pic:spPr>
                </pic:pic>
              </a:graphicData>
            </a:graphic>
          </wp:inline>
        </w:drawing>
      </w:r>
    </w:p>
    <w:p w14:paraId="27B0B90A" w14:textId="4BECA334" w:rsidR="000E53EA" w:rsidRPr="00C400CA" w:rsidRDefault="000E53EA" w:rsidP="000E53EA">
      <w:r w:rsidRPr="00C400CA">
        <w:t xml:space="preserve">Fig </w:t>
      </w:r>
      <w:r w:rsidR="00364027">
        <w:t>I</w:t>
      </w:r>
      <w:r w:rsidRPr="00C400CA">
        <w:t>: The quorum sensing activation landscape for the tester C when mixed with the supernatant of producer C and the supernatant of producer A, B, C, D and E respectively (from left to right). A blue square represents quorum sensing activation off and a yellow square represents quorum sensing activation on.</w:t>
      </w:r>
      <w:r>
        <w:t xml:space="preserve"> The weight values listed on top represent the range of values that generated the same activation landscape.</w:t>
      </w:r>
    </w:p>
    <w:p w14:paraId="41B78D20" w14:textId="77777777" w:rsidR="000E53EA" w:rsidRPr="00C400CA" w:rsidRDefault="000E53EA" w:rsidP="000E53EA"/>
    <w:p w14:paraId="39ADCBF5" w14:textId="77777777" w:rsidR="000E53EA" w:rsidRPr="00C400CA" w:rsidRDefault="000E53EA" w:rsidP="000E53EA">
      <w:r>
        <w:rPr>
          <w:noProof/>
        </w:rPr>
        <w:lastRenderedPageBreak/>
        <w:drawing>
          <wp:inline distT="0" distB="0" distL="0" distR="0" wp14:anchorId="615D97E3" wp14:editId="5E98D2EE">
            <wp:extent cx="5943600" cy="1607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07820"/>
                    </a:xfrm>
                    <a:prstGeom prst="rect">
                      <a:avLst/>
                    </a:prstGeom>
                  </pic:spPr>
                </pic:pic>
              </a:graphicData>
            </a:graphic>
          </wp:inline>
        </w:drawing>
      </w:r>
    </w:p>
    <w:p w14:paraId="5B764CD8" w14:textId="763D8F6E" w:rsidR="000E53EA" w:rsidRPr="00C400CA" w:rsidRDefault="000E53EA" w:rsidP="000E53EA">
      <w:r w:rsidRPr="00C400CA">
        <w:t xml:space="preserve">Fig </w:t>
      </w:r>
      <w:r w:rsidR="00364027">
        <w:t>J</w:t>
      </w:r>
      <w:r w:rsidRPr="00C400CA">
        <w:t>: The quorum sensing activation landscape for the tester D when mixed with the supernatant of producer D and the supernatant of producer A, B, C, D and E respectively (from left to right). A blue square represents quorum sensing activation off and a yellow square represents quorum sensing activation on.</w:t>
      </w:r>
      <w:r>
        <w:t xml:space="preserve"> The weight values listed on top represent the range of values that generated the same activation landscape.</w:t>
      </w:r>
    </w:p>
    <w:p w14:paraId="646EE850" w14:textId="77777777" w:rsidR="000E53EA" w:rsidRPr="00C400CA" w:rsidRDefault="000E53EA" w:rsidP="000E53EA"/>
    <w:p w14:paraId="0DD329D8" w14:textId="77777777" w:rsidR="000E53EA" w:rsidRPr="00C400CA" w:rsidRDefault="000E53EA" w:rsidP="000E53EA">
      <w:pPr>
        <w:rPr>
          <w:vertAlign w:val="subscript"/>
        </w:rPr>
      </w:pPr>
      <w:r w:rsidRPr="00C400CA">
        <w:rPr>
          <w:noProof/>
        </w:rPr>
        <w:t xml:space="preserve"> </w:t>
      </w:r>
      <w:r w:rsidRPr="00C400CA">
        <w:rPr>
          <w:noProof/>
        </w:rPr>
        <w:drawing>
          <wp:inline distT="0" distB="0" distL="0" distR="0" wp14:anchorId="27E0CAC8" wp14:editId="75D017B8">
            <wp:extent cx="5943600" cy="1703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03705"/>
                    </a:xfrm>
                    <a:prstGeom prst="rect">
                      <a:avLst/>
                    </a:prstGeom>
                  </pic:spPr>
                </pic:pic>
              </a:graphicData>
            </a:graphic>
          </wp:inline>
        </w:drawing>
      </w:r>
      <w:r w:rsidRPr="00C400CA">
        <w:rPr>
          <w:noProof/>
          <w:vertAlign w:val="subscript"/>
        </w:rPr>
        <w:softHyphen/>
      </w:r>
    </w:p>
    <w:p w14:paraId="78F902B5" w14:textId="4102E37A" w:rsidR="000E53EA" w:rsidRDefault="000E53EA" w:rsidP="000E53EA">
      <w:r w:rsidRPr="00C400CA">
        <w:t xml:space="preserve">Fig </w:t>
      </w:r>
      <w:r w:rsidR="00364027">
        <w:t>K</w:t>
      </w:r>
      <w:r w:rsidRPr="00C400CA">
        <w:t>: The quorum sensing activation landscape for the tester E when mixed with the supernatant of producer E and the supernatant of producer A, B, C, D and E respectively (from left to right). A blue square represents quorum sensing acti</w:t>
      </w:r>
      <w:r>
        <w:t xml:space="preserve">vation off and a yellow square </w:t>
      </w:r>
      <w:r w:rsidRPr="00C400CA">
        <w:t>represents quorum sensing activation on.</w:t>
      </w:r>
      <w:r>
        <w:t xml:space="preserve"> The weight values listed on top represent the range of values that generated the same activation landscape.</w:t>
      </w:r>
    </w:p>
    <w:p w14:paraId="03E9BF49" w14:textId="77777777" w:rsidR="000E53EA" w:rsidRDefault="000E53EA" w:rsidP="000E53EA">
      <w:r w:rsidRPr="00E22C75">
        <w:rPr>
          <w:noProof/>
        </w:rPr>
        <w:lastRenderedPageBreak/>
        <w:t xml:space="preserve"> </w:t>
      </w:r>
      <w:r>
        <w:rPr>
          <w:noProof/>
        </w:rPr>
        <w:drawing>
          <wp:inline distT="0" distB="0" distL="0" distR="0" wp14:anchorId="4B2AEF78" wp14:editId="4931B1B9">
            <wp:extent cx="5943600" cy="32950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95015"/>
                    </a:xfrm>
                    <a:prstGeom prst="rect">
                      <a:avLst/>
                    </a:prstGeom>
                  </pic:spPr>
                </pic:pic>
              </a:graphicData>
            </a:graphic>
          </wp:inline>
        </w:drawing>
      </w:r>
    </w:p>
    <w:p w14:paraId="395C0BCB" w14:textId="182C0E32" w:rsidR="000E53EA" w:rsidRPr="00C400CA" w:rsidRDefault="000E53EA" w:rsidP="000E53EA">
      <w:r>
        <w:t xml:space="preserve">Fig </w:t>
      </w:r>
      <w:r w:rsidR="00364027">
        <w:t>L</w:t>
      </w:r>
      <w:r w:rsidRPr="00C400CA">
        <w:t xml:space="preserve">: The overall pairwise quorum sensing interaction map. </w:t>
      </w:r>
      <w:r>
        <w:t>In the left, t</w:t>
      </w:r>
      <w:r w:rsidRPr="00C400CA">
        <w:t>he green arrow represents activation, the red flat head represents inhibition</w:t>
      </w:r>
      <w:proofErr w:type="gramStart"/>
      <w:r w:rsidRPr="00C400CA">
        <w:t xml:space="preserve">. </w:t>
      </w:r>
      <w:r>
        <w:t xml:space="preserve"> </w:t>
      </w:r>
      <w:proofErr w:type="gramEnd"/>
      <w:r>
        <w:t>On the right, we have elaborated the strength of each pairwise interaction. Each pentagram represents the strength of the pairwise interaction between a tester and all the supernatants. For instance, the smallest pentagram represents the response of T</w:t>
      </w:r>
      <w:r w:rsidRPr="003B0757">
        <w:rPr>
          <w:vertAlign w:val="subscript"/>
        </w:rPr>
        <w:t>A</w:t>
      </w:r>
      <w:r>
        <w:t>. The colors represent the weight values. Green represents positive weights while red represents negative weights.</w:t>
      </w:r>
    </w:p>
    <w:p w14:paraId="1B3D2E09" w14:textId="77777777" w:rsidR="000E53EA" w:rsidRPr="00C400CA" w:rsidRDefault="000E53EA" w:rsidP="000E53EA"/>
    <w:p w14:paraId="151BC718" w14:textId="77777777" w:rsidR="000E53EA" w:rsidRDefault="000E53EA" w:rsidP="000E53EA"/>
    <w:p w14:paraId="65B1A38E" w14:textId="77777777" w:rsidR="000E53EA" w:rsidRDefault="000E53EA" w:rsidP="000E53EA">
      <w:r>
        <w:rPr>
          <w:noProof/>
        </w:rPr>
        <w:drawing>
          <wp:inline distT="0" distB="0" distL="0" distR="0" wp14:anchorId="127BEBF6" wp14:editId="37180978">
            <wp:extent cx="5943600" cy="2620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20010"/>
                    </a:xfrm>
                    <a:prstGeom prst="rect">
                      <a:avLst/>
                    </a:prstGeom>
                  </pic:spPr>
                </pic:pic>
              </a:graphicData>
            </a:graphic>
          </wp:inline>
        </w:drawing>
      </w:r>
    </w:p>
    <w:p w14:paraId="6ADC757F" w14:textId="67E84BA1" w:rsidR="000E53EA" w:rsidRPr="00AD64D2" w:rsidRDefault="000E53EA" w:rsidP="000E53EA">
      <w:r>
        <w:lastRenderedPageBreak/>
        <w:t xml:space="preserve">Fig </w:t>
      </w:r>
      <w:r w:rsidR="00364027">
        <w:t>M</w:t>
      </w:r>
      <w:r w:rsidRPr="00C400CA">
        <w:t xml:space="preserve">: </w:t>
      </w:r>
      <w:proofErr w:type="spellStart"/>
      <w:r>
        <w:t>LacZ</w:t>
      </w:r>
      <w:proofErr w:type="spellEnd"/>
      <w:r>
        <w:t xml:space="preserve"> fold change comparisons of the 5 supernatant case from simulations and experiments. Here the values indicated are the fold change in </w:t>
      </w:r>
      <w:proofErr w:type="spellStart"/>
      <w:r>
        <w:t>LacZ</w:t>
      </w:r>
      <w:proofErr w:type="spellEnd"/>
      <w:r>
        <w:t xml:space="preserve"> when increasing S</w:t>
      </w:r>
      <w:r w:rsidRPr="002C6B9A">
        <w:rPr>
          <w:vertAlign w:val="subscript"/>
        </w:rPr>
        <w:t>E</w:t>
      </w:r>
      <w:r>
        <w:rPr>
          <w:vertAlign w:val="subscript"/>
        </w:rPr>
        <w:t xml:space="preserve"> </w:t>
      </w:r>
      <w:r>
        <w:t xml:space="preserve">from simulations (left) and experiments (right). Here QS on is represented by the color yellow and QS off is represented by the color blue. The threshold fold changes for QS activation of the strains A, B, C, D, </w:t>
      </w:r>
      <w:proofErr w:type="gramStart"/>
      <w:r>
        <w:t>E</w:t>
      </w:r>
      <w:proofErr w:type="gramEnd"/>
      <w:r>
        <w:t xml:space="preserve"> are 3.43, 2.75, 10.56, 4.17 and 4.68 respectively. </w:t>
      </w:r>
    </w:p>
    <w:p w14:paraId="26946D18" w14:textId="77777777" w:rsidR="000E53EA" w:rsidRDefault="000E53EA" w:rsidP="000E53EA"/>
    <w:p w14:paraId="2729F12F" w14:textId="77777777" w:rsidR="000E53EA" w:rsidRPr="00C400CA" w:rsidRDefault="000E53EA" w:rsidP="000E53EA"/>
    <w:p w14:paraId="0F166C26" w14:textId="77777777" w:rsidR="000E53EA" w:rsidRPr="00C400CA" w:rsidRDefault="000E53EA" w:rsidP="000E53EA">
      <w:r w:rsidRPr="00C400CA">
        <w:rPr>
          <w:noProof/>
        </w:rPr>
        <w:drawing>
          <wp:inline distT="0" distB="0" distL="0" distR="0" wp14:anchorId="303016EA" wp14:editId="3FEBCC13">
            <wp:extent cx="5943600" cy="3799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99840"/>
                    </a:xfrm>
                    <a:prstGeom prst="rect">
                      <a:avLst/>
                    </a:prstGeom>
                  </pic:spPr>
                </pic:pic>
              </a:graphicData>
            </a:graphic>
          </wp:inline>
        </w:drawing>
      </w:r>
    </w:p>
    <w:p w14:paraId="6A3F99A3" w14:textId="3ECE3689" w:rsidR="000E53EA" w:rsidRPr="00C400CA" w:rsidRDefault="000E53EA" w:rsidP="000E53EA">
      <w:r w:rsidRPr="00C400CA">
        <w:t xml:space="preserve">Fig </w:t>
      </w:r>
      <w:r w:rsidR="00364027">
        <w:t>N</w:t>
      </w:r>
      <w:r w:rsidRPr="00C400CA">
        <w:t xml:space="preserve">: Simulation results of the </w:t>
      </w:r>
      <w:proofErr w:type="spellStart"/>
      <w:r w:rsidRPr="00C400CA">
        <w:t>ComX</w:t>
      </w:r>
      <w:proofErr w:type="spellEnd"/>
      <w:r w:rsidRPr="00C400CA">
        <w:t xml:space="preserve"> concentration </w:t>
      </w:r>
      <w:r>
        <w:t>(</w:t>
      </w:r>
      <w:r w:rsidRPr="00C400CA">
        <w:t>normalized by Ɵ</w:t>
      </w:r>
      <w:r>
        <w:t>)</w:t>
      </w:r>
      <w:r w:rsidRPr="00C400CA">
        <w:t xml:space="preserve"> over time for</w:t>
      </w:r>
      <w:r>
        <w:t xml:space="preserve"> </w:t>
      </w:r>
      <w:proofErr w:type="spellStart"/>
      <w:r>
        <w:t>cocultures</w:t>
      </w:r>
      <w:proofErr w:type="spellEnd"/>
      <w:r>
        <w:t xml:space="preserve"> of</w:t>
      </w:r>
      <w:r w:rsidRPr="00C400CA">
        <w:t xml:space="preserve"> P</w:t>
      </w:r>
      <w:r w:rsidRPr="00C400CA">
        <w:rPr>
          <w:vertAlign w:val="subscript"/>
        </w:rPr>
        <w:t>A</w:t>
      </w:r>
      <w:r w:rsidRPr="00C400CA">
        <w:t xml:space="preserve"> (green, left y-axis) and P</w:t>
      </w:r>
      <w:r w:rsidRPr="00C400CA">
        <w:rPr>
          <w:vertAlign w:val="subscript"/>
        </w:rPr>
        <w:t>B</w:t>
      </w:r>
      <w:r w:rsidRPr="00C400CA">
        <w:t xml:space="preserve"> (brown, right y-axis)</w:t>
      </w:r>
      <w:r>
        <w:t>. Inoculation ratios (P</w:t>
      </w:r>
      <w:r w:rsidRPr="004B7838">
        <w:rPr>
          <w:vertAlign w:val="subscript"/>
        </w:rPr>
        <w:t>A</w:t>
      </w:r>
      <w:proofErr w:type="gramStart"/>
      <w:r>
        <w:t>:P</w:t>
      </w:r>
      <w:r w:rsidRPr="004B7838">
        <w:rPr>
          <w:vertAlign w:val="subscript"/>
        </w:rPr>
        <w:t>B</w:t>
      </w:r>
      <w:proofErr w:type="gramEnd"/>
      <w:r>
        <w:t xml:space="preserve">) for the </w:t>
      </w:r>
      <w:proofErr w:type="spellStart"/>
      <w:r>
        <w:t>cocultures</w:t>
      </w:r>
      <w:proofErr w:type="spellEnd"/>
      <w:r>
        <w:t xml:space="preserve"> are noted in parentheses. For an inoculation ratio of </w:t>
      </w:r>
      <w:r w:rsidRPr="00C400CA">
        <w:t>7:1, P</w:t>
      </w:r>
      <w:r w:rsidRPr="00C400CA">
        <w:rPr>
          <w:vertAlign w:val="subscript"/>
        </w:rPr>
        <w:t xml:space="preserve">B </w:t>
      </w:r>
      <w:r w:rsidRPr="00C400CA">
        <w:t>will not activate QS.</w:t>
      </w:r>
    </w:p>
    <w:p w14:paraId="24F5E605" w14:textId="77777777" w:rsidR="000E53EA" w:rsidRPr="00C400CA" w:rsidRDefault="000E53EA" w:rsidP="000E53EA"/>
    <w:p w14:paraId="08862590" w14:textId="77777777" w:rsidR="000E53EA" w:rsidRPr="00C400CA" w:rsidRDefault="000E53EA" w:rsidP="000E53EA"/>
    <w:p w14:paraId="1D5BAD54" w14:textId="77777777" w:rsidR="000E53EA" w:rsidRPr="00C400CA" w:rsidRDefault="000E53EA" w:rsidP="000E53EA"/>
    <w:p w14:paraId="611522D7" w14:textId="77777777" w:rsidR="000E53EA" w:rsidRPr="00C400CA" w:rsidRDefault="000E53EA" w:rsidP="000E53EA"/>
    <w:p w14:paraId="02E67C35" w14:textId="77777777" w:rsidR="000E53EA" w:rsidRPr="00C400CA" w:rsidRDefault="000E53EA" w:rsidP="000E53EA"/>
    <w:p w14:paraId="5F37B885" w14:textId="77777777" w:rsidR="000E53EA" w:rsidRPr="00C400CA" w:rsidRDefault="000E53EA" w:rsidP="000E53EA"/>
    <w:p w14:paraId="77AEBA28" w14:textId="77777777" w:rsidR="000E53EA" w:rsidRPr="00C400CA" w:rsidRDefault="000E53EA" w:rsidP="000E53EA"/>
    <w:p w14:paraId="05287A55" w14:textId="77777777" w:rsidR="000E53EA" w:rsidRPr="00C400CA" w:rsidRDefault="000E53EA" w:rsidP="000E53EA">
      <w:bookmarkStart w:id="20" w:name="_GoBack"/>
      <w:r w:rsidRPr="00C400CA">
        <w:rPr>
          <w:noProof/>
        </w:rPr>
        <w:lastRenderedPageBreak/>
        <w:drawing>
          <wp:inline distT="0" distB="0" distL="0" distR="0" wp14:anchorId="5400D02A" wp14:editId="3E3EBE3D">
            <wp:extent cx="5943600" cy="3886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886835"/>
                    </a:xfrm>
                    <a:prstGeom prst="rect">
                      <a:avLst/>
                    </a:prstGeom>
                  </pic:spPr>
                </pic:pic>
              </a:graphicData>
            </a:graphic>
          </wp:inline>
        </w:drawing>
      </w:r>
      <w:bookmarkEnd w:id="20"/>
    </w:p>
    <w:p w14:paraId="7CE9D4A2" w14:textId="5F338C4E" w:rsidR="000E53EA" w:rsidRPr="00C400CA" w:rsidRDefault="000E53EA" w:rsidP="000E53EA">
      <w:r w:rsidRPr="00C400CA">
        <w:t xml:space="preserve">Fig </w:t>
      </w:r>
      <w:r w:rsidR="00364027">
        <w:t>O</w:t>
      </w:r>
      <w:r>
        <w:t>:</w:t>
      </w:r>
      <w:r w:rsidRPr="00C400CA">
        <w:t xml:space="preserve"> Simulation results of the </w:t>
      </w:r>
      <w:proofErr w:type="spellStart"/>
      <w:r w:rsidRPr="00C400CA">
        <w:t>ComX</w:t>
      </w:r>
      <w:proofErr w:type="spellEnd"/>
      <w:r w:rsidRPr="00C400CA">
        <w:t xml:space="preserve"> concentration normalized by Ɵ over time for P</w:t>
      </w:r>
      <w:r w:rsidRPr="00C400CA">
        <w:rPr>
          <w:vertAlign w:val="subscript"/>
        </w:rPr>
        <w:t>A</w:t>
      </w:r>
      <w:r w:rsidRPr="00C400CA">
        <w:t xml:space="preserve"> (green, left y-axis) and P</w:t>
      </w:r>
      <w:r w:rsidRPr="00C400CA">
        <w:rPr>
          <w:vertAlign w:val="subscript"/>
        </w:rPr>
        <w:t>B</w:t>
      </w:r>
      <w:r w:rsidRPr="00C400CA">
        <w:t xml:space="preserve"> (brown, right y-axis) when they are mixed (P</w:t>
      </w:r>
      <w:r w:rsidRPr="00C400CA">
        <w:rPr>
          <w:vertAlign w:val="subscript"/>
        </w:rPr>
        <w:t>A</w:t>
      </w:r>
      <w:r w:rsidRPr="00C400CA">
        <w:t>: P</w:t>
      </w:r>
      <w:r w:rsidRPr="00C400CA">
        <w:rPr>
          <w:vertAlign w:val="subscript"/>
        </w:rPr>
        <w:t>B</w:t>
      </w:r>
      <w:r>
        <w:t>) at a ratio of 1:1</w:t>
      </w:r>
      <w:r w:rsidRPr="00C400CA">
        <w:t>. As observ</w:t>
      </w:r>
      <w:r w:rsidR="00B853D0">
        <w:t>ed in Fig. N</w:t>
      </w:r>
      <w:r>
        <w:t>, when the ratio wa</w:t>
      </w:r>
      <w:r w:rsidRPr="00C400CA">
        <w:t>s set to 1:1, both P</w:t>
      </w:r>
      <w:r w:rsidRPr="00C400CA">
        <w:rPr>
          <w:vertAlign w:val="subscript"/>
        </w:rPr>
        <w:t>A</w:t>
      </w:r>
      <w:r w:rsidRPr="00C400CA">
        <w:t xml:space="preserve"> and P</w:t>
      </w:r>
      <w:r w:rsidRPr="00C400CA">
        <w:rPr>
          <w:vertAlign w:val="subscript"/>
        </w:rPr>
        <w:t>B</w:t>
      </w:r>
      <w:r>
        <w:t xml:space="preserve"> </w:t>
      </w:r>
      <w:r w:rsidRPr="00C400CA">
        <w:t>activate</w:t>
      </w:r>
      <w:r>
        <w:t>d</w:t>
      </w:r>
      <w:r w:rsidRPr="00C400CA">
        <w:t xml:space="preserve"> QS. When S</w:t>
      </w:r>
      <w:r w:rsidRPr="00C400CA">
        <w:rPr>
          <w:vertAlign w:val="subscript"/>
        </w:rPr>
        <w:t>C</w:t>
      </w:r>
      <w:r w:rsidRPr="00C400CA">
        <w:t xml:space="preserve"> is added externally at a volume of 20</w:t>
      </w:r>
      <w:r>
        <w:t>0</w:t>
      </w:r>
      <w:r w:rsidRPr="00C400CA">
        <w:t xml:space="preserve"> µl, the activation of P</w:t>
      </w:r>
      <w:r w:rsidRPr="00C400CA">
        <w:rPr>
          <w:vertAlign w:val="subscript"/>
        </w:rPr>
        <w:t>B</w:t>
      </w:r>
      <w:r w:rsidRPr="00C400CA">
        <w:t xml:space="preserve"> depends on the time at which S</w:t>
      </w:r>
      <w:r w:rsidRPr="00C400CA">
        <w:rPr>
          <w:vertAlign w:val="subscript"/>
        </w:rPr>
        <w:t>C</w:t>
      </w:r>
      <w:r w:rsidRPr="00C400CA">
        <w:t xml:space="preserve"> was introduced (</w:t>
      </w:r>
      <w:proofErr w:type="spellStart"/>
      <w:r w:rsidRPr="00C400CA">
        <w:t>t</w:t>
      </w:r>
      <w:r w:rsidRPr="00C400CA">
        <w:rPr>
          <w:vertAlign w:val="subscript"/>
        </w:rPr>
        <w:t>p</w:t>
      </w:r>
      <w:proofErr w:type="spellEnd"/>
      <w:r w:rsidRPr="00C400CA">
        <w:t xml:space="preserve"> = time of perturbation) to the mixture. Since C will activate A, P</w:t>
      </w:r>
      <w:r w:rsidRPr="00C400CA">
        <w:rPr>
          <w:vertAlign w:val="subscript"/>
        </w:rPr>
        <w:t>A</w:t>
      </w:r>
      <w:r w:rsidRPr="00C400CA">
        <w:t xml:space="preserve"> activates QS for all t</w:t>
      </w:r>
      <w:r w:rsidRPr="00C400CA">
        <w:rPr>
          <w:vertAlign w:val="subscript"/>
        </w:rPr>
        <w:t>p</w:t>
      </w:r>
      <w:r w:rsidRPr="00C400CA">
        <w:t>.</w:t>
      </w:r>
    </w:p>
    <w:p w14:paraId="318F4F2D" w14:textId="77777777" w:rsidR="000E53EA" w:rsidRPr="00C400CA" w:rsidRDefault="000E53EA" w:rsidP="000E53EA"/>
    <w:p w14:paraId="61DD42CB" w14:textId="77777777" w:rsidR="000E53EA" w:rsidRPr="00C400CA" w:rsidRDefault="000E53EA" w:rsidP="000E53EA"/>
    <w:p w14:paraId="00585099" w14:textId="77777777" w:rsidR="000E53EA" w:rsidRPr="00C400CA" w:rsidRDefault="000E53EA" w:rsidP="000E53EA">
      <w:r w:rsidRPr="00C400CA">
        <w:rPr>
          <w:noProof/>
        </w:rPr>
        <w:lastRenderedPageBreak/>
        <w:drawing>
          <wp:inline distT="0" distB="0" distL="0" distR="0" wp14:anchorId="081501FB" wp14:editId="28F9A92A">
            <wp:extent cx="5943600" cy="5288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288280"/>
                    </a:xfrm>
                    <a:prstGeom prst="rect">
                      <a:avLst/>
                    </a:prstGeom>
                  </pic:spPr>
                </pic:pic>
              </a:graphicData>
            </a:graphic>
          </wp:inline>
        </w:drawing>
      </w:r>
    </w:p>
    <w:p w14:paraId="5718B1CE" w14:textId="08EAE4E8" w:rsidR="000E53EA" w:rsidRPr="00C400CA" w:rsidRDefault="000E53EA" w:rsidP="000E53EA">
      <w:bookmarkStart w:id="21" w:name="OLE_LINK74"/>
      <w:bookmarkStart w:id="22" w:name="OLE_LINK80"/>
      <w:bookmarkStart w:id="23" w:name="OLE_LINK81"/>
      <w:r w:rsidRPr="00C400CA">
        <w:t xml:space="preserve">Figure </w:t>
      </w:r>
      <w:r w:rsidR="00364027">
        <w:t>P</w:t>
      </w:r>
      <w:r w:rsidRPr="00C400CA">
        <w:t xml:space="preserve">: The comparisons of the pairwise crosstalk of our results with </w:t>
      </w:r>
      <w:proofErr w:type="spellStart"/>
      <w:r w:rsidRPr="00C400CA">
        <w:t>Ansaldi</w:t>
      </w:r>
      <w:proofErr w:type="spellEnd"/>
      <w:r w:rsidRPr="00C400CA">
        <w:t xml:space="preserve"> </w:t>
      </w:r>
      <w:r w:rsidRPr="00C400CA">
        <w:rPr>
          <w:i/>
        </w:rPr>
        <w:t>et al.</w:t>
      </w:r>
      <w:r w:rsidRPr="00C400CA">
        <w:t xml:space="preserve"> </w:t>
      </w:r>
      <w:r w:rsidRPr="00C400CA">
        <w:fldChar w:fldCharType="begin" w:fldLock="1"/>
      </w:r>
      <w:r>
        <w:instrText>ADDIN CSL_CITATION {"citationItems":[{"id":"ITEM-1","itemData":{"DOI":"10.1046/j.1365-2958.2002.02977.x","ISBN":"0950-382X (Print)\\r0950-382X (Linking)","ISSN":"0950382X","PMID":"12067344","abstract":"Natural genetic competence in Bacillus subtilis is controlled by quorum-sensing (QS). The ComP- ComA two-component system detects the signalling molecule ComX, and this signal is transduced by a conserved phosphotransfer mechanism. ComX is synthesized as an inactive precursor and is then cleaved and modified by ComQ before export to the extracellular environment. The comQXP' loci of a set of natural Bacillus isolates have been sequenced and shown to possess a striking polymorphism that determines specific patterns of both activation and inhibition of the quorum-sensing response. We have developed a simple purification method for the modified peptide signalling pheromones allowing the characterization of four distinct ComX molecules representing different pherotypes. Genetic and biochemical evidence demonstrate that all the ComX variants are isoprenylated by the post-translational modification of a conserved tryptophan residue and that the modifications on the ComX peptide backbones vary in mass among the various pherotypes. These results give new insights into peptidemediated quorum-sensing signalling in Gram-positive bacteria and emphasize the role of isoprenylation in bacterial signal transduction.","author":[{"dropping-particle":"","family":"Ansaldi","given":"Mireille","non-dropping-particle":"","parse-names":false,"suffix":""},{"dropping-particle":"","family":"Marolt","given":"Darja","non-dropping-particle":"","parse-names":false,"suffix":""},{"dropping-particle":"","family":"Stebe","given":"Tina","non-dropping-particle":"","parse-names":false,"suffix":""},{"dropping-particle":"","family":"Mandic-Mulec","given":"Ines","non-dropping-particle":"","parse-names":false,"suffix":""},{"dropping-particle":"","family":"Dubnau","given":"David","non-dropping-particle":"","parse-names":false,"suffix":""}],"container-title":"Molecular Microbiology","id":"ITEM-1","issue":"6","issued":{"date-parts":[["2002"]]},"page":"1561-1573","title":"Specific activation of the Bacillus quorum-sensing systems by isoprenylated pheromone variants","type":"article-journal","volume":"44"},"uris":["http://www.mendeley.com/documents/?uuid=82be7303-9cc1-411d-a95b-2bfb57c6b4a3"]}],"mendeley":{"formattedCitation":"[9]","plainTextFormattedCitation":"[9]","previouslyFormattedCitation":"[9]"},"properties":{"noteIndex":0},"schema":"https://github.com/citation-style-language/schema/raw/master/csl-citation.json"}</w:instrText>
      </w:r>
      <w:r w:rsidRPr="00C400CA">
        <w:fldChar w:fldCharType="separate"/>
      </w:r>
      <w:r w:rsidRPr="00501A00">
        <w:rPr>
          <w:noProof/>
        </w:rPr>
        <w:t>[9]</w:t>
      </w:r>
      <w:r w:rsidRPr="00C400CA">
        <w:fldChar w:fldCharType="end"/>
      </w:r>
      <w:r w:rsidRPr="00C400CA">
        <w:t xml:space="preserve">. In this previous study, the </w:t>
      </w:r>
      <w:proofErr w:type="spellStart"/>
      <w:r w:rsidRPr="00C400CA">
        <w:t>LacZ</w:t>
      </w:r>
      <w:proofErr w:type="spellEnd"/>
      <w:r w:rsidRPr="00C400CA">
        <w:t xml:space="preserve"> activity of each tester was measured and crosstalk was tested by mixing the cognate </w:t>
      </w:r>
      <w:proofErr w:type="spellStart"/>
      <w:r w:rsidRPr="00C400CA">
        <w:t>ComX</w:t>
      </w:r>
      <w:proofErr w:type="spellEnd"/>
      <w:r w:rsidRPr="00C400CA">
        <w:t xml:space="preserve"> signal and a non-cognate </w:t>
      </w:r>
      <w:proofErr w:type="spellStart"/>
      <w:r w:rsidRPr="00C400CA">
        <w:t>ComX</w:t>
      </w:r>
      <w:proofErr w:type="spellEnd"/>
      <w:r w:rsidRPr="00C400CA">
        <w:t xml:space="preserve"> signal at a ratio of 1:1</w:t>
      </w:r>
      <w:r>
        <w:t xml:space="preserve"> obtained from purifying supernatants of </w:t>
      </w:r>
      <w:r w:rsidRPr="00E553A0">
        <w:rPr>
          <w:i/>
        </w:rPr>
        <w:t>E. coli</w:t>
      </w:r>
      <w:r>
        <w:t xml:space="preserve"> producers</w:t>
      </w:r>
      <w:r w:rsidRPr="00C400CA">
        <w:t xml:space="preserve">. They tested if the </w:t>
      </w:r>
      <w:proofErr w:type="spellStart"/>
      <w:r w:rsidRPr="00C400CA">
        <w:t>LacZ</w:t>
      </w:r>
      <w:proofErr w:type="spellEnd"/>
      <w:r w:rsidRPr="00C400CA">
        <w:t xml:space="preserve"> expression was above or below the </w:t>
      </w:r>
      <w:proofErr w:type="spellStart"/>
      <w:r w:rsidRPr="00C400CA">
        <w:t>LacZ</w:t>
      </w:r>
      <w:proofErr w:type="spellEnd"/>
      <w:r w:rsidRPr="00C400CA">
        <w:t xml:space="preserve"> level when there was only the cognate </w:t>
      </w:r>
      <w:proofErr w:type="spellStart"/>
      <w:r w:rsidRPr="00C400CA">
        <w:t>ComX</w:t>
      </w:r>
      <w:proofErr w:type="spellEnd"/>
      <w:r w:rsidRPr="00C400CA">
        <w:t xml:space="preserve"> present. Here we compare these results with the </w:t>
      </w:r>
      <w:proofErr w:type="spellStart"/>
      <w:r w:rsidRPr="00C400CA">
        <w:t>LacZ</w:t>
      </w:r>
      <w:proofErr w:type="spellEnd"/>
      <w:r w:rsidRPr="00C400CA">
        <w:t xml:space="preserve"> measurements of the testers when the </w:t>
      </w:r>
      <w:proofErr w:type="spellStart"/>
      <w:r w:rsidRPr="00C400CA">
        <w:t>ComX</w:t>
      </w:r>
      <w:proofErr w:type="spellEnd"/>
      <w:r w:rsidRPr="00C400CA">
        <w:t xml:space="preserve"> signals were introduced at a ratio of 1:1. The normalized </w:t>
      </w:r>
      <w:proofErr w:type="spellStart"/>
      <w:r w:rsidRPr="00C400CA">
        <w:t>LacZ</w:t>
      </w:r>
      <w:proofErr w:type="spellEnd"/>
      <w:r w:rsidRPr="00C400CA">
        <w:t xml:space="preserve"> activity was the ratio between the </w:t>
      </w:r>
      <w:proofErr w:type="spellStart"/>
      <w:r w:rsidRPr="00C400CA">
        <w:t>LacZ</w:t>
      </w:r>
      <w:proofErr w:type="spellEnd"/>
      <w:r w:rsidRPr="00C400CA">
        <w:t xml:space="preserve"> activity of the pairwise combinations and the </w:t>
      </w:r>
      <w:proofErr w:type="spellStart"/>
      <w:r w:rsidRPr="00C400CA">
        <w:t>LacZ</w:t>
      </w:r>
      <w:proofErr w:type="spellEnd"/>
      <w:r w:rsidRPr="00C400CA">
        <w:t xml:space="preserve"> activity when only the cognate </w:t>
      </w:r>
      <w:proofErr w:type="spellStart"/>
      <w:r w:rsidRPr="00C400CA">
        <w:t>ComX</w:t>
      </w:r>
      <w:proofErr w:type="spellEnd"/>
      <w:r w:rsidRPr="00C400CA">
        <w:t xml:space="preserve"> signal is present. </w:t>
      </w:r>
      <w:r>
        <w:t xml:space="preserve">The </w:t>
      </w:r>
      <w:proofErr w:type="spellStart"/>
      <w:r>
        <w:t>ComX</w:t>
      </w:r>
      <w:proofErr w:type="spellEnd"/>
      <w:r>
        <w:t xml:space="preserve"> signal of our experiments were obtained from the </w:t>
      </w:r>
      <w:r w:rsidRPr="00F0472D">
        <w:rPr>
          <w:i/>
        </w:rPr>
        <w:t>B. subtilis</w:t>
      </w:r>
      <w:r>
        <w:t xml:space="preserve"> producers as described from </w:t>
      </w:r>
      <w:proofErr w:type="spellStart"/>
      <w:r w:rsidRPr="00F0472D">
        <w:t>Tortosa</w:t>
      </w:r>
      <w:proofErr w:type="spellEnd"/>
      <w:r w:rsidRPr="00F0472D">
        <w:t xml:space="preserve"> </w:t>
      </w:r>
      <w:r>
        <w:rPr>
          <w:i/>
        </w:rPr>
        <w:t xml:space="preserve">et al. </w:t>
      </w:r>
      <w:r>
        <w:t xml:space="preserve">and as suggested in </w:t>
      </w:r>
      <w:proofErr w:type="spellStart"/>
      <w:r>
        <w:t>Ansaldi</w:t>
      </w:r>
      <w:proofErr w:type="spellEnd"/>
      <w:r>
        <w:t xml:space="preserve"> </w:t>
      </w:r>
      <w:r w:rsidRPr="006031F2">
        <w:rPr>
          <w:i/>
        </w:rPr>
        <w:t>et al.</w:t>
      </w:r>
      <w:r>
        <w:t xml:space="preserve">, we observe similar levels of activity for most cases. </w:t>
      </w:r>
      <w:r w:rsidRPr="00C400CA">
        <w:t xml:space="preserve">We obtained the results of the previous study using the software plot digitizer. The blue bars represent the results from our study and the red bars represent the results from </w:t>
      </w:r>
      <w:proofErr w:type="spellStart"/>
      <w:r w:rsidRPr="00C400CA">
        <w:t>Ansaldi</w:t>
      </w:r>
      <w:proofErr w:type="spellEnd"/>
      <w:r w:rsidRPr="00C400CA">
        <w:t xml:space="preserve"> </w:t>
      </w:r>
      <w:r w:rsidRPr="00C400CA">
        <w:rPr>
          <w:i/>
        </w:rPr>
        <w:t xml:space="preserve">et al. </w:t>
      </w:r>
    </w:p>
    <w:bookmarkEnd w:id="21"/>
    <w:bookmarkEnd w:id="22"/>
    <w:bookmarkEnd w:id="23"/>
    <w:p w14:paraId="696A1CD4" w14:textId="77777777" w:rsidR="000E53EA" w:rsidRPr="00C400CA" w:rsidRDefault="000E53EA" w:rsidP="000E53EA"/>
    <w:p w14:paraId="26E0D5F2" w14:textId="77777777" w:rsidR="000E53EA" w:rsidRPr="00C400CA" w:rsidRDefault="000E53EA" w:rsidP="000E53EA"/>
    <w:p w14:paraId="1A7C7218" w14:textId="77777777" w:rsidR="000E53EA" w:rsidRPr="00C400CA" w:rsidRDefault="000E53EA" w:rsidP="000E53EA">
      <w:r w:rsidRPr="00C400CA">
        <w:lastRenderedPageBreak/>
        <w:t>References:</w:t>
      </w:r>
    </w:p>
    <w:p w14:paraId="3331B9A4" w14:textId="77777777" w:rsidR="000E53EA" w:rsidRPr="00C400CA" w:rsidRDefault="000E53EA" w:rsidP="000E53EA"/>
    <w:p w14:paraId="15ABA7E4" w14:textId="77777777" w:rsidR="000E53EA" w:rsidRPr="009F70C4" w:rsidRDefault="000E53EA" w:rsidP="000E53EA">
      <w:pPr>
        <w:widowControl w:val="0"/>
        <w:autoSpaceDE w:val="0"/>
        <w:autoSpaceDN w:val="0"/>
        <w:adjustRightInd w:val="0"/>
        <w:spacing w:after="0" w:line="240" w:lineRule="auto"/>
        <w:ind w:left="640" w:hanging="640"/>
        <w:rPr>
          <w:rFonts w:ascii="Calibri" w:hAnsi="Calibri" w:cs="Times New Roman"/>
          <w:noProof/>
          <w:sz w:val="24"/>
          <w:szCs w:val="24"/>
        </w:rPr>
      </w:pPr>
      <w:r w:rsidRPr="00C400CA">
        <w:fldChar w:fldCharType="begin" w:fldLock="1"/>
      </w:r>
      <w:r w:rsidRPr="00C400CA">
        <w:instrText xml:space="preserve">ADDIN Mendeley Bibliography CSL_BIBLIOGRAPHY </w:instrText>
      </w:r>
      <w:r w:rsidRPr="00C400CA">
        <w:fldChar w:fldCharType="separate"/>
      </w:r>
      <w:r w:rsidRPr="009F70C4">
        <w:rPr>
          <w:rFonts w:ascii="Calibri" w:hAnsi="Calibri" w:cs="Times New Roman"/>
          <w:noProof/>
          <w:sz w:val="24"/>
          <w:szCs w:val="24"/>
        </w:rPr>
        <w:t xml:space="preserve">1. </w:t>
      </w:r>
      <w:r w:rsidRPr="009F70C4">
        <w:rPr>
          <w:rFonts w:ascii="Calibri" w:hAnsi="Calibri" w:cs="Times New Roman"/>
          <w:noProof/>
          <w:sz w:val="24"/>
          <w:szCs w:val="24"/>
        </w:rPr>
        <w:tab/>
        <w:t>Silva KP, Chellamuthu P, Boedicker JQ. Signal Destruction Tunes the Zone of Activation in Spatially Distributed Signaling Networks. Biophys J. Biophysical Society; 2017;112: 1037–1044. doi:10.1016/j.bpj.2017.01.010</w:t>
      </w:r>
    </w:p>
    <w:p w14:paraId="75548B19" w14:textId="77777777" w:rsidR="000E53EA" w:rsidRPr="009F70C4" w:rsidRDefault="000E53EA" w:rsidP="000E53EA">
      <w:pPr>
        <w:widowControl w:val="0"/>
        <w:autoSpaceDE w:val="0"/>
        <w:autoSpaceDN w:val="0"/>
        <w:adjustRightInd w:val="0"/>
        <w:spacing w:after="0" w:line="240" w:lineRule="auto"/>
        <w:ind w:left="640" w:hanging="640"/>
        <w:rPr>
          <w:rFonts w:ascii="Calibri" w:hAnsi="Calibri" w:cs="Times New Roman"/>
          <w:noProof/>
          <w:sz w:val="24"/>
          <w:szCs w:val="24"/>
        </w:rPr>
      </w:pPr>
      <w:r w:rsidRPr="009F70C4">
        <w:rPr>
          <w:rFonts w:ascii="Calibri" w:hAnsi="Calibri" w:cs="Times New Roman"/>
          <w:noProof/>
          <w:sz w:val="24"/>
          <w:szCs w:val="24"/>
        </w:rPr>
        <w:t xml:space="preserve">2. </w:t>
      </w:r>
      <w:r w:rsidRPr="009F70C4">
        <w:rPr>
          <w:rFonts w:ascii="Calibri" w:hAnsi="Calibri" w:cs="Times New Roman"/>
          <w:noProof/>
          <w:sz w:val="24"/>
          <w:szCs w:val="24"/>
        </w:rPr>
        <w:tab/>
        <w:t>Haustenne L, Bastin G, Hols P, Fontaine L. Modeling of the ComRS Signaling Pathway Reveals the Limiting Factors Controlling Competence in Streptococcus thermophilus. Front Microbiol. 2015;6: 1–20. doi:10.3389/fmicb.2015.01413</w:t>
      </w:r>
    </w:p>
    <w:p w14:paraId="476943E7" w14:textId="77777777" w:rsidR="000E53EA" w:rsidRPr="009F70C4" w:rsidRDefault="000E53EA" w:rsidP="000E53EA">
      <w:pPr>
        <w:widowControl w:val="0"/>
        <w:autoSpaceDE w:val="0"/>
        <w:autoSpaceDN w:val="0"/>
        <w:adjustRightInd w:val="0"/>
        <w:spacing w:after="0" w:line="240" w:lineRule="auto"/>
        <w:ind w:left="640" w:hanging="640"/>
        <w:rPr>
          <w:rFonts w:ascii="Calibri" w:hAnsi="Calibri" w:cs="Times New Roman"/>
          <w:noProof/>
          <w:sz w:val="24"/>
          <w:szCs w:val="24"/>
        </w:rPr>
      </w:pPr>
      <w:r w:rsidRPr="009F70C4">
        <w:rPr>
          <w:rFonts w:ascii="Calibri" w:hAnsi="Calibri" w:cs="Times New Roman"/>
          <w:noProof/>
          <w:sz w:val="24"/>
          <w:szCs w:val="24"/>
        </w:rPr>
        <w:t xml:space="preserve">3. </w:t>
      </w:r>
      <w:r w:rsidRPr="009F70C4">
        <w:rPr>
          <w:rFonts w:ascii="Calibri" w:hAnsi="Calibri" w:cs="Times New Roman"/>
          <w:noProof/>
          <w:sz w:val="24"/>
          <w:szCs w:val="24"/>
        </w:rPr>
        <w:tab/>
        <w:t>Santilla M. Bistable Behavior in a Model of the lac Operon in Escherichia coli with Variable Growth Rate. Biophys J. 2008;94: 2065–2081. doi:10.1529/biophysj.107.118026</w:t>
      </w:r>
    </w:p>
    <w:p w14:paraId="2C5EDEA5" w14:textId="77777777" w:rsidR="000E53EA" w:rsidRPr="009F70C4" w:rsidRDefault="000E53EA" w:rsidP="000E53EA">
      <w:pPr>
        <w:widowControl w:val="0"/>
        <w:autoSpaceDE w:val="0"/>
        <w:autoSpaceDN w:val="0"/>
        <w:adjustRightInd w:val="0"/>
        <w:spacing w:after="0" w:line="240" w:lineRule="auto"/>
        <w:ind w:left="640" w:hanging="640"/>
        <w:rPr>
          <w:rFonts w:ascii="Calibri" w:hAnsi="Calibri" w:cs="Times New Roman"/>
          <w:noProof/>
          <w:sz w:val="24"/>
          <w:szCs w:val="24"/>
        </w:rPr>
      </w:pPr>
      <w:r w:rsidRPr="009F70C4">
        <w:rPr>
          <w:rFonts w:ascii="Calibri" w:hAnsi="Calibri" w:cs="Times New Roman"/>
          <w:noProof/>
          <w:sz w:val="24"/>
          <w:szCs w:val="24"/>
        </w:rPr>
        <w:t xml:space="preserve">4. </w:t>
      </w:r>
      <w:r w:rsidRPr="009F70C4">
        <w:rPr>
          <w:rFonts w:ascii="Calibri" w:hAnsi="Calibri" w:cs="Times New Roman"/>
          <w:noProof/>
          <w:sz w:val="24"/>
          <w:szCs w:val="24"/>
        </w:rPr>
        <w:tab/>
        <w:t>Ansaldi M, Marolt D, Stebe T, Mandic-Mulec I, Dubnau D. Specific activation of the Bacillus quorum-sensing systems by isoprenylated pheromone variants. Mol Microbiol. 2002;44: 1561–1573. doi:10.1046/j.1365-2958.2002.02977.x</w:t>
      </w:r>
    </w:p>
    <w:p w14:paraId="4E901EBB" w14:textId="77777777" w:rsidR="000E53EA" w:rsidRPr="009F70C4" w:rsidRDefault="000E53EA" w:rsidP="000E53EA">
      <w:pPr>
        <w:widowControl w:val="0"/>
        <w:autoSpaceDE w:val="0"/>
        <w:autoSpaceDN w:val="0"/>
        <w:adjustRightInd w:val="0"/>
        <w:spacing w:after="0" w:line="240" w:lineRule="auto"/>
        <w:ind w:left="640" w:hanging="640"/>
        <w:rPr>
          <w:rFonts w:ascii="Calibri" w:hAnsi="Calibri"/>
          <w:noProof/>
          <w:sz w:val="24"/>
        </w:rPr>
      </w:pPr>
      <w:r w:rsidRPr="009F70C4">
        <w:rPr>
          <w:rFonts w:ascii="Calibri" w:hAnsi="Calibri" w:cs="Times New Roman"/>
          <w:noProof/>
          <w:sz w:val="24"/>
          <w:szCs w:val="24"/>
        </w:rPr>
        <w:t xml:space="preserve">5. </w:t>
      </w:r>
      <w:r w:rsidRPr="009F70C4">
        <w:rPr>
          <w:rFonts w:ascii="Calibri" w:hAnsi="Calibri" w:cs="Times New Roman"/>
          <w:noProof/>
          <w:sz w:val="24"/>
          <w:szCs w:val="24"/>
        </w:rPr>
        <w:tab/>
        <w:t>Tortosa P, Logsdon L, Kraigher B, Itoh Y, Mandic-Mulec I, Dubnau D. Specificity and genetic polymorphism of the Bacillus competence quorum-sensing system. J Bacteriol. 2001;183: 451–460. doi:10.1128/JB.183.2.451-460.2001</w:t>
      </w:r>
    </w:p>
    <w:p w14:paraId="09F7CE05" w14:textId="77777777" w:rsidR="000E53EA" w:rsidRPr="00C400CA" w:rsidRDefault="000E53EA" w:rsidP="000E53EA">
      <w:r w:rsidRPr="00C400CA">
        <w:fldChar w:fldCharType="end"/>
      </w:r>
    </w:p>
    <w:p w14:paraId="02A74061" w14:textId="77777777" w:rsidR="000E53EA" w:rsidRPr="00C400CA" w:rsidRDefault="000E53EA" w:rsidP="000E53EA"/>
    <w:p w14:paraId="655D834E" w14:textId="77777777" w:rsidR="000E53EA" w:rsidRDefault="000E53EA" w:rsidP="000E53EA"/>
    <w:p w14:paraId="4F833EC6" w14:textId="77777777" w:rsidR="00D624A9" w:rsidRDefault="00D624A9"/>
    <w:sectPr w:rsidR="00D624A9" w:rsidSect="00D44F5B">
      <w:footerReference w:type="default" r:id="rId2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E9292" w14:textId="77777777" w:rsidR="00F62114" w:rsidRDefault="00F62114">
      <w:pPr>
        <w:spacing w:after="0" w:line="240" w:lineRule="auto"/>
      </w:pPr>
      <w:r>
        <w:separator/>
      </w:r>
    </w:p>
  </w:endnote>
  <w:endnote w:type="continuationSeparator" w:id="0">
    <w:p w14:paraId="2EEDAC02" w14:textId="77777777" w:rsidR="00F62114" w:rsidRDefault="00F62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757143"/>
      <w:docPartObj>
        <w:docPartGallery w:val="Page Numbers (Bottom of Page)"/>
        <w:docPartUnique/>
      </w:docPartObj>
    </w:sdtPr>
    <w:sdtEndPr>
      <w:rPr>
        <w:noProof/>
      </w:rPr>
    </w:sdtEndPr>
    <w:sdtContent>
      <w:p w14:paraId="4AB75949" w14:textId="4BA3722D" w:rsidR="009D2066" w:rsidRDefault="0059035F">
        <w:pPr>
          <w:pStyle w:val="Footer"/>
          <w:jc w:val="right"/>
        </w:pPr>
        <w:r>
          <w:fldChar w:fldCharType="begin"/>
        </w:r>
        <w:r>
          <w:instrText xml:space="preserve"> PAGE   \* MERGEFORMAT </w:instrText>
        </w:r>
        <w:r>
          <w:fldChar w:fldCharType="separate"/>
        </w:r>
        <w:r w:rsidR="00B853D0">
          <w:rPr>
            <w:noProof/>
          </w:rPr>
          <w:t>11</w:t>
        </w:r>
        <w:r>
          <w:rPr>
            <w:noProof/>
          </w:rPr>
          <w:fldChar w:fldCharType="end"/>
        </w:r>
      </w:p>
    </w:sdtContent>
  </w:sdt>
  <w:p w14:paraId="76E916E3" w14:textId="77777777" w:rsidR="009D2066" w:rsidRDefault="00F621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E0A72" w14:textId="77777777" w:rsidR="00F62114" w:rsidRDefault="00F62114">
      <w:pPr>
        <w:spacing w:after="0" w:line="240" w:lineRule="auto"/>
      </w:pPr>
      <w:r>
        <w:separator/>
      </w:r>
    </w:p>
  </w:footnote>
  <w:footnote w:type="continuationSeparator" w:id="0">
    <w:p w14:paraId="76B469CE" w14:textId="77777777" w:rsidR="00F62114" w:rsidRDefault="00F621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5267C"/>
    <w:multiLevelType w:val="hybridMultilevel"/>
    <w:tmpl w:val="ABC42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3EA"/>
    <w:rsid w:val="000E53EA"/>
    <w:rsid w:val="00284DF6"/>
    <w:rsid w:val="00334F04"/>
    <w:rsid w:val="00364027"/>
    <w:rsid w:val="00462EA6"/>
    <w:rsid w:val="00534C7D"/>
    <w:rsid w:val="0059035F"/>
    <w:rsid w:val="005A6E94"/>
    <w:rsid w:val="007C7189"/>
    <w:rsid w:val="00B853D0"/>
    <w:rsid w:val="00D624A9"/>
    <w:rsid w:val="00EE6772"/>
    <w:rsid w:val="00F62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C4601"/>
  <w15:chartTrackingRefBased/>
  <w15:docId w15:val="{DCE59E34-6FC4-440E-BC88-64B8BE8C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E5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3EA"/>
  </w:style>
  <w:style w:type="character" w:styleId="LineNumber">
    <w:name w:val="line number"/>
    <w:basedOn w:val="DefaultParagraphFont"/>
    <w:uiPriority w:val="99"/>
    <w:semiHidden/>
    <w:unhideWhenUsed/>
    <w:rsid w:val="000E53EA"/>
  </w:style>
  <w:style w:type="character" w:styleId="CommentReference">
    <w:name w:val="annotation reference"/>
    <w:basedOn w:val="DefaultParagraphFont"/>
    <w:uiPriority w:val="99"/>
    <w:semiHidden/>
    <w:unhideWhenUsed/>
    <w:rsid w:val="005A6E94"/>
    <w:rPr>
      <w:sz w:val="16"/>
      <w:szCs w:val="16"/>
    </w:rPr>
  </w:style>
  <w:style w:type="paragraph" w:styleId="CommentText">
    <w:name w:val="annotation text"/>
    <w:basedOn w:val="Normal"/>
    <w:link w:val="CommentTextChar"/>
    <w:uiPriority w:val="99"/>
    <w:semiHidden/>
    <w:unhideWhenUsed/>
    <w:rsid w:val="005A6E94"/>
    <w:pPr>
      <w:spacing w:line="240" w:lineRule="auto"/>
    </w:pPr>
    <w:rPr>
      <w:sz w:val="20"/>
      <w:szCs w:val="20"/>
    </w:rPr>
  </w:style>
  <w:style w:type="character" w:customStyle="1" w:styleId="CommentTextChar">
    <w:name w:val="Comment Text Char"/>
    <w:basedOn w:val="DefaultParagraphFont"/>
    <w:link w:val="CommentText"/>
    <w:uiPriority w:val="99"/>
    <w:semiHidden/>
    <w:rsid w:val="005A6E94"/>
    <w:rPr>
      <w:sz w:val="20"/>
      <w:szCs w:val="20"/>
    </w:rPr>
  </w:style>
  <w:style w:type="paragraph" w:styleId="CommentSubject">
    <w:name w:val="annotation subject"/>
    <w:basedOn w:val="CommentText"/>
    <w:next w:val="CommentText"/>
    <w:link w:val="CommentSubjectChar"/>
    <w:uiPriority w:val="99"/>
    <w:semiHidden/>
    <w:unhideWhenUsed/>
    <w:rsid w:val="005A6E94"/>
    <w:rPr>
      <w:b/>
      <w:bCs/>
    </w:rPr>
  </w:style>
  <w:style w:type="character" w:customStyle="1" w:styleId="CommentSubjectChar">
    <w:name w:val="Comment Subject Char"/>
    <w:basedOn w:val="CommentTextChar"/>
    <w:link w:val="CommentSubject"/>
    <w:uiPriority w:val="99"/>
    <w:semiHidden/>
    <w:rsid w:val="005A6E94"/>
    <w:rPr>
      <w:b/>
      <w:bCs/>
      <w:sz w:val="20"/>
      <w:szCs w:val="20"/>
    </w:rPr>
  </w:style>
  <w:style w:type="paragraph" w:styleId="BalloonText">
    <w:name w:val="Balloon Text"/>
    <w:basedOn w:val="Normal"/>
    <w:link w:val="BalloonTextChar"/>
    <w:uiPriority w:val="99"/>
    <w:semiHidden/>
    <w:unhideWhenUsed/>
    <w:rsid w:val="005A6E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E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13</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USC Dornsife</Company>
  <LinksUpToDate>false</LinksUpToDate>
  <CharactersWithSpaces>18862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Kalinga Silva</dc:creator>
  <cp:keywords/>
  <dc:description/>
  <cp:lastModifiedBy>James Boedicker</cp:lastModifiedBy>
  <cp:revision>4</cp:revision>
  <dcterms:created xsi:type="dcterms:W3CDTF">2019-05-10T17:12:00Z</dcterms:created>
  <dcterms:modified xsi:type="dcterms:W3CDTF">2019-05-14T21:37:00Z</dcterms:modified>
</cp:coreProperties>
</file>