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31" w:rsidRDefault="00970F31" w:rsidP="00970F31">
      <w:pPr>
        <w:spacing w:line="480" w:lineRule="auto"/>
        <w:ind w:left="-709"/>
        <w:jc w:val="both"/>
        <w:rPr>
          <w:rFonts w:ascii="Times New Roman" w:hAnsi="Times New Roman"/>
          <w:noProof/>
          <w:sz w:val="24"/>
          <w:szCs w:val="24"/>
          <w:lang w:val="en-US" w:eastAsia="fr-FR"/>
        </w:rPr>
      </w:pPr>
    </w:p>
    <w:p w:rsidR="00970F31" w:rsidRDefault="00970F31" w:rsidP="00970F31">
      <w:pPr>
        <w:spacing w:line="480" w:lineRule="auto"/>
        <w:ind w:left="-709"/>
        <w:jc w:val="right"/>
        <w:rPr>
          <w:rFonts w:ascii="Times New Roman" w:hAnsi="Times New Roman"/>
          <w:noProof/>
          <w:sz w:val="24"/>
          <w:szCs w:val="24"/>
          <w:lang w:val="en-US" w:eastAsia="fr-FR"/>
        </w:rPr>
      </w:pPr>
      <w:r>
        <w:rPr>
          <w:rFonts w:ascii="Times New Roman" w:hAnsi="Times New Roman"/>
          <w:noProof/>
          <w:sz w:val="24"/>
          <w:szCs w:val="24"/>
          <w:lang w:eastAsia="fr-FR"/>
        </w:rPr>
        <w:drawing>
          <wp:inline distT="0" distB="0" distL="0" distR="0" wp14:anchorId="6DB56061" wp14:editId="623F641E">
            <wp:extent cx="5921829" cy="4441213"/>
            <wp:effectExtent l="0" t="0" r="3175" b="0"/>
            <wp:docPr id="1062" name="Image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 - hCoq6 mutations mapped onto yCoq6.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18665" cy="4438840"/>
                    </a:xfrm>
                    <a:prstGeom prst="rect">
                      <a:avLst/>
                    </a:prstGeom>
                  </pic:spPr>
                </pic:pic>
              </a:graphicData>
            </a:graphic>
          </wp:inline>
        </w:drawing>
      </w:r>
    </w:p>
    <w:p w:rsidR="00970F31" w:rsidRDefault="00970F31" w:rsidP="00970F31">
      <w:pPr>
        <w:spacing w:line="480" w:lineRule="auto"/>
        <w:jc w:val="both"/>
        <w:rPr>
          <w:rFonts w:ascii="Times New Roman" w:hAnsi="Times New Roman"/>
          <w:noProof/>
          <w:sz w:val="24"/>
          <w:szCs w:val="24"/>
          <w:lang w:val="en-US" w:eastAsia="fr-FR"/>
        </w:rPr>
      </w:pPr>
      <w:r w:rsidRPr="00457C5E">
        <w:rPr>
          <w:rFonts w:ascii="Times New Roman" w:hAnsi="Times New Roman"/>
          <w:b/>
          <w:noProof/>
          <w:sz w:val="24"/>
          <w:szCs w:val="24"/>
          <w:lang w:val="en-US" w:eastAsia="fr-FR"/>
        </w:rPr>
        <w:t>S15</w:t>
      </w:r>
      <w:r>
        <w:rPr>
          <w:rFonts w:ascii="Times New Roman" w:hAnsi="Times New Roman"/>
          <w:b/>
          <w:noProof/>
          <w:sz w:val="24"/>
          <w:szCs w:val="24"/>
          <w:lang w:val="en-US" w:eastAsia="fr-FR"/>
        </w:rPr>
        <w:t xml:space="preserve"> </w:t>
      </w:r>
      <w:r w:rsidRPr="00457C5E">
        <w:rPr>
          <w:rFonts w:ascii="Times New Roman" w:hAnsi="Times New Roman"/>
          <w:b/>
          <w:noProof/>
          <w:sz w:val="24"/>
          <w:szCs w:val="24"/>
          <w:lang w:val="en-US" w:eastAsia="fr-FR"/>
        </w:rPr>
        <w:t>Fig.</w:t>
      </w:r>
      <w:r w:rsidRPr="008972FE">
        <w:rPr>
          <w:rFonts w:ascii="Times New Roman" w:hAnsi="Times New Roman"/>
          <w:noProof/>
          <w:sz w:val="24"/>
          <w:szCs w:val="24"/>
          <w:lang w:val="en-US" w:eastAsia="fr-FR"/>
        </w:rPr>
        <w:t xml:space="preserve"> </w:t>
      </w:r>
      <w:r w:rsidRPr="00187CD1">
        <w:rPr>
          <w:rFonts w:ascii="Times New Roman" w:hAnsi="Times New Roman"/>
          <w:b/>
          <w:noProof/>
          <w:sz w:val="24"/>
          <w:szCs w:val="24"/>
          <w:lang w:val="en-US" w:eastAsia="fr-FR"/>
        </w:rPr>
        <w:t xml:space="preserve">Schematic ribon representation of Coq6p with the positions of </w:t>
      </w:r>
      <w:r>
        <w:rPr>
          <w:rFonts w:ascii="Times New Roman" w:hAnsi="Times New Roman"/>
          <w:b/>
          <w:noProof/>
          <w:sz w:val="24"/>
          <w:szCs w:val="24"/>
          <w:lang w:val="en-US" w:eastAsia="fr-FR"/>
        </w:rPr>
        <w:t>mutated residues reported in li</w:t>
      </w:r>
      <w:r w:rsidRPr="00187CD1">
        <w:rPr>
          <w:rFonts w:ascii="Times New Roman" w:hAnsi="Times New Roman"/>
          <w:b/>
          <w:noProof/>
          <w:sz w:val="24"/>
          <w:szCs w:val="24"/>
          <w:lang w:val="en-US" w:eastAsia="fr-FR"/>
        </w:rPr>
        <w:t>terature for hCoq6.</w:t>
      </w:r>
      <w:r>
        <w:rPr>
          <w:rFonts w:ascii="Times New Roman" w:hAnsi="Times New Roman"/>
          <w:noProof/>
          <w:sz w:val="24"/>
          <w:szCs w:val="24"/>
          <w:lang w:val="en-US" w:eastAsia="fr-FR"/>
        </w:rPr>
        <w:t xml:space="preserve"> The hCoq6-Coq6p alignement based on the multiple sequence alignement of 119 Coq6p homologues was used for the identification of homologous residues, as follows: the mutations reported by Heeringa et al. (2011), R162X, G255R and A353D are identified as located at residues K155, G248, A361 in Coq6p. The homologous residue for D208H mutation reported for hCoq6 by </w:t>
      </w:r>
      <w:r w:rsidRPr="00AE4D76">
        <w:rPr>
          <w:rFonts w:ascii="Times New Roman" w:hAnsi="Times New Roman"/>
          <w:noProof/>
          <w:sz w:val="24"/>
          <w:szCs w:val="24"/>
          <w:lang w:val="en-US" w:eastAsia="fr-FR"/>
        </w:rPr>
        <w:t>Zhang et al</w:t>
      </w:r>
      <w:r>
        <w:rPr>
          <w:rFonts w:ascii="Times New Roman" w:hAnsi="Times New Roman"/>
          <w:noProof/>
          <w:sz w:val="24"/>
          <w:szCs w:val="24"/>
          <w:lang w:val="en-US" w:eastAsia="fr-FR"/>
        </w:rPr>
        <w:t>.</w:t>
      </w:r>
      <w:r w:rsidRPr="00AE4D76">
        <w:rPr>
          <w:rFonts w:ascii="Times New Roman" w:hAnsi="Times New Roman"/>
          <w:noProof/>
          <w:sz w:val="24"/>
          <w:szCs w:val="24"/>
          <w:lang w:val="en-US" w:eastAsia="fr-FR"/>
        </w:rPr>
        <w:t xml:space="preserve"> (2014</w:t>
      </w:r>
      <w:r>
        <w:rPr>
          <w:rFonts w:ascii="Times New Roman" w:hAnsi="Times New Roman"/>
          <w:noProof/>
          <w:sz w:val="24"/>
          <w:szCs w:val="24"/>
          <w:lang w:val="en-US" w:eastAsia="fr-FR"/>
        </w:rPr>
        <w:t xml:space="preserve">) is D201 in Coq6p. The Y412C mutation in hCoq6 reported by </w:t>
      </w:r>
      <w:r w:rsidRPr="00AE4D76">
        <w:rPr>
          <w:rFonts w:ascii="Times New Roman" w:hAnsi="Times New Roman"/>
          <w:noProof/>
          <w:sz w:val="24"/>
          <w:szCs w:val="24"/>
          <w:lang w:val="en-US" w:eastAsia="fr-FR"/>
        </w:rPr>
        <w:t>Doimo e</w:t>
      </w:r>
      <w:r>
        <w:rPr>
          <w:rFonts w:ascii="Times New Roman" w:hAnsi="Times New Roman"/>
          <w:noProof/>
          <w:sz w:val="24"/>
          <w:szCs w:val="24"/>
          <w:lang w:val="en-US" w:eastAsia="fr-FR"/>
        </w:rPr>
        <w:t>t al. (2014) translates into Coq6p F420.</w:t>
      </w:r>
    </w:p>
    <w:p w:rsidR="00630A41" w:rsidRDefault="00630A41">
      <w:bookmarkStart w:id="0" w:name="_GoBack"/>
      <w:bookmarkEnd w:id="0"/>
    </w:p>
    <w:sectPr w:rsidR="00630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31"/>
    <w:rsid w:val="00630A41"/>
    <w:rsid w:val="00970F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3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0F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0F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3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0F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0F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521</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dc:creator>
  <cp:lastModifiedBy>CMD</cp:lastModifiedBy>
  <cp:revision>1</cp:revision>
  <dcterms:created xsi:type="dcterms:W3CDTF">2015-12-14T16:41:00Z</dcterms:created>
  <dcterms:modified xsi:type="dcterms:W3CDTF">2015-12-14T16:41:00Z</dcterms:modified>
</cp:coreProperties>
</file>