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7E0E" w14:textId="77777777" w:rsidR="00AF3403" w:rsidRDefault="00AF3403" w:rsidP="00683FE1">
      <w:pPr>
        <w:spacing w:line="480" w:lineRule="auto"/>
        <w:contextualSpacing/>
        <w:jc w:val="both"/>
        <w:rPr>
          <w:rFonts w:ascii="Arial" w:hAnsi="Arial" w:cs="Arial"/>
          <w:sz w:val="22"/>
          <w:szCs w:val="22"/>
        </w:rPr>
      </w:pPr>
      <w:r>
        <w:rPr>
          <w:rFonts w:ascii="Arial" w:hAnsi="Arial" w:cs="Arial"/>
          <w:b/>
          <w:sz w:val="22"/>
          <w:szCs w:val="22"/>
        </w:rPr>
        <w:t>Text S2.  Monte Carlo simulations for estimating mutation counts and time to resistance</w:t>
      </w:r>
    </w:p>
    <w:p w14:paraId="3842B7F4" w14:textId="77777777" w:rsidR="00AF3403" w:rsidRDefault="00AF3403" w:rsidP="00AF3403">
      <w:pPr>
        <w:spacing w:line="480" w:lineRule="auto"/>
        <w:ind w:left="357" w:hanging="357"/>
        <w:contextualSpacing/>
        <w:jc w:val="both"/>
        <w:rPr>
          <w:rFonts w:ascii="Arial" w:hAnsi="Arial" w:cs="Arial"/>
          <w:sz w:val="22"/>
          <w:szCs w:val="22"/>
        </w:rPr>
      </w:pPr>
    </w:p>
    <w:p w14:paraId="7297CF73" w14:textId="30478999" w:rsidR="00AF3403" w:rsidRDefault="00AF3403" w:rsidP="00AF3403">
      <w:pPr>
        <w:spacing w:line="480" w:lineRule="auto"/>
        <w:jc w:val="both"/>
        <w:rPr>
          <w:rFonts w:ascii="Arial" w:hAnsi="Arial" w:cs="Arial"/>
          <w:sz w:val="22"/>
          <w:szCs w:val="22"/>
        </w:rPr>
      </w:pPr>
      <w:r>
        <w:rPr>
          <w:rFonts w:ascii="Arial" w:hAnsi="Arial" w:cs="Arial"/>
          <w:sz w:val="22"/>
          <w:szCs w:val="22"/>
        </w:rPr>
        <w:t xml:space="preserve">Monte Carlo simulations were performed to estimate the mutation counts and time elapsed for a set of target sequences to become resistant.  A set containing </w:t>
      </w:r>
      <w:r>
        <w:rPr>
          <w:rFonts w:ascii="Arial" w:hAnsi="Arial" w:cs="Arial"/>
          <w:i/>
          <w:sz w:val="22"/>
          <w:szCs w:val="22"/>
        </w:rPr>
        <w:t>n</w:t>
      </w:r>
      <w:r>
        <w:rPr>
          <w:rFonts w:ascii="Arial" w:hAnsi="Arial" w:cs="Arial"/>
          <w:sz w:val="22"/>
          <w:szCs w:val="22"/>
        </w:rPr>
        <w:t xml:space="preserve"> target sequences is considered resistant when </w:t>
      </w:r>
      <w:r>
        <w:rPr>
          <w:rFonts w:ascii="Arial" w:hAnsi="Arial" w:cs="Arial"/>
          <w:i/>
          <w:sz w:val="22"/>
          <w:szCs w:val="22"/>
        </w:rPr>
        <w:t>n – 1</w:t>
      </w:r>
      <w:r>
        <w:rPr>
          <w:rFonts w:ascii="Arial" w:hAnsi="Arial" w:cs="Arial"/>
          <w:sz w:val="22"/>
          <w:szCs w:val="22"/>
        </w:rPr>
        <w:t xml:space="preserve"> target sequences are resistant; a target sequence becomes resistant when it acquires one mutation in the 1-hit study (Fig</w:t>
      </w:r>
      <w:r w:rsidR="00835FE7">
        <w:rPr>
          <w:rFonts w:ascii="Arial" w:hAnsi="Arial" w:cs="Arial"/>
          <w:sz w:val="22"/>
          <w:szCs w:val="22"/>
        </w:rPr>
        <w:t>.</w:t>
      </w:r>
      <w:r>
        <w:rPr>
          <w:rFonts w:ascii="Arial" w:hAnsi="Arial" w:cs="Arial"/>
          <w:sz w:val="22"/>
          <w:szCs w:val="22"/>
        </w:rPr>
        <w:t xml:space="preserve"> 5) or three mutations in the 3-hits study</w:t>
      </w:r>
      <w:r>
        <w:t xml:space="preserve"> </w:t>
      </w:r>
      <w:r w:rsidR="00835FE7">
        <w:rPr>
          <w:rFonts w:ascii="Arial" w:hAnsi="Arial" w:cs="Arial"/>
          <w:sz w:val="22"/>
          <w:szCs w:val="22"/>
        </w:rPr>
        <w:t>(Fig.</w:t>
      </w:r>
      <w:bookmarkStart w:id="0" w:name="_GoBack"/>
      <w:bookmarkEnd w:id="0"/>
      <w:r>
        <w:rPr>
          <w:rFonts w:ascii="Arial" w:hAnsi="Arial" w:cs="Arial"/>
          <w:sz w:val="22"/>
          <w:szCs w:val="22"/>
        </w:rPr>
        <w:t xml:space="preserve"> S14).  In the model, random single nucleotide substitution events are simulated in each of the eight viral segments.  The model assumptions are:</w:t>
      </w:r>
    </w:p>
    <w:p w14:paraId="44FE5761" w14:textId="23AD99A4" w:rsidR="00AF3403" w:rsidRDefault="00AF3403" w:rsidP="00AF3403">
      <w:pPr>
        <w:pStyle w:val="ListParagraph"/>
        <w:numPr>
          <w:ilvl w:val="0"/>
          <w:numId w:val="1"/>
        </w:numPr>
        <w:spacing w:line="480" w:lineRule="auto"/>
        <w:ind w:left="357" w:hanging="357"/>
        <w:jc w:val="both"/>
        <w:rPr>
          <w:rFonts w:ascii="Arial" w:hAnsi="Arial" w:cs="Arial"/>
          <w:sz w:val="22"/>
          <w:szCs w:val="22"/>
        </w:rPr>
      </w:pPr>
      <w:r>
        <w:rPr>
          <w:rFonts w:ascii="Arial" w:hAnsi="Arial" w:cs="Arial"/>
          <w:sz w:val="22"/>
          <w:szCs w:val="22"/>
        </w:rPr>
        <w:t>The probability of each nucleotide in a segment to acquire a substitution mutation is modelled by a uniform distribution.  Although synonymous and non-synonymous substitutions were observed to have different mutation frequencies [R1</w:t>
      </w:r>
      <w:r w:rsidR="00233F41">
        <w:rPr>
          <w:rFonts w:ascii="Arial" w:hAnsi="Arial" w:cs="Arial"/>
          <w:sz w:val="22"/>
          <w:szCs w:val="22"/>
        </w:rPr>
        <w:t>-</w:t>
      </w:r>
      <w:r>
        <w:rPr>
          <w:rFonts w:ascii="Arial" w:hAnsi="Arial" w:cs="Arial"/>
          <w:sz w:val="22"/>
          <w:szCs w:val="22"/>
        </w:rPr>
        <w:t>R2], the mutation rates are apparent as substitutions that lead to virus unviability will not be observed.  The model does not exclude substitutions that are not viable for the virus as it is not possible to accurately predict the differential impact of non-synonymous substitutions on the virus viability and fitness.  As a result, the simulation results could underestimate the mutation counts and elapsed time required for a set of target sequences to become resistant since it includes all mutation events.</w:t>
      </w:r>
    </w:p>
    <w:p w14:paraId="6C6AED97" w14:textId="77777777" w:rsidR="00AF3403" w:rsidRDefault="00AF3403" w:rsidP="00AF3403">
      <w:pPr>
        <w:pStyle w:val="ListParagraph"/>
        <w:numPr>
          <w:ilvl w:val="0"/>
          <w:numId w:val="1"/>
        </w:numPr>
        <w:spacing w:line="480" w:lineRule="auto"/>
        <w:ind w:left="357" w:hanging="357"/>
        <w:jc w:val="both"/>
        <w:rPr>
          <w:rFonts w:ascii="Arial" w:hAnsi="Arial" w:cs="Arial"/>
          <w:sz w:val="22"/>
          <w:szCs w:val="22"/>
        </w:rPr>
      </w:pPr>
      <w:r>
        <w:rPr>
          <w:rFonts w:ascii="Arial" w:hAnsi="Arial" w:cs="Arial"/>
          <w:sz w:val="22"/>
          <w:szCs w:val="22"/>
        </w:rPr>
        <w:t>The nucleotide substitution probability is not affected by the targeting of RNA therapeutics.</w:t>
      </w:r>
    </w:p>
    <w:p w14:paraId="5D29B363" w14:textId="77777777" w:rsidR="00AF3403" w:rsidRDefault="00AF3403" w:rsidP="00AF3403">
      <w:pPr>
        <w:pStyle w:val="ListParagraph"/>
        <w:numPr>
          <w:ilvl w:val="0"/>
          <w:numId w:val="1"/>
        </w:numPr>
        <w:spacing w:line="480" w:lineRule="auto"/>
        <w:ind w:left="357" w:hanging="357"/>
        <w:jc w:val="both"/>
        <w:rPr>
          <w:rFonts w:ascii="Arial" w:hAnsi="Arial" w:cs="Arial"/>
          <w:sz w:val="22"/>
          <w:szCs w:val="22"/>
        </w:rPr>
      </w:pPr>
      <w:r>
        <w:rPr>
          <w:rFonts w:ascii="Arial" w:hAnsi="Arial" w:cs="Arial"/>
          <w:sz w:val="22"/>
          <w:szCs w:val="22"/>
        </w:rPr>
        <w:t>Substitution events among nucleotides in a same segment and between segments are independent.</w:t>
      </w:r>
    </w:p>
    <w:p w14:paraId="23D3CEC8" w14:textId="77777777" w:rsidR="00AF3403" w:rsidRDefault="00AF3403" w:rsidP="00AF3403">
      <w:pPr>
        <w:spacing w:line="480" w:lineRule="auto"/>
        <w:ind w:left="357" w:hanging="357"/>
        <w:contextualSpacing/>
        <w:jc w:val="both"/>
        <w:rPr>
          <w:rFonts w:ascii="Arial" w:hAnsi="Arial" w:cs="Arial"/>
          <w:sz w:val="22"/>
          <w:szCs w:val="22"/>
        </w:rPr>
      </w:pPr>
    </w:p>
    <w:p w14:paraId="0FB0A520" w14:textId="77777777" w:rsidR="00AF3403" w:rsidRDefault="00AF3403" w:rsidP="00AF3403">
      <w:pPr>
        <w:spacing w:line="480" w:lineRule="auto"/>
        <w:ind w:left="357" w:hanging="357"/>
        <w:contextualSpacing/>
        <w:jc w:val="both"/>
        <w:rPr>
          <w:rFonts w:ascii="Arial" w:hAnsi="Arial" w:cs="Arial"/>
          <w:sz w:val="22"/>
          <w:szCs w:val="22"/>
        </w:rPr>
      </w:pPr>
      <w:r>
        <w:rPr>
          <w:rFonts w:ascii="Arial" w:hAnsi="Arial" w:cs="Arial"/>
          <w:sz w:val="22"/>
          <w:szCs w:val="22"/>
        </w:rPr>
        <w:t xml:space="preserve">Segment mutation rates: </w:t>
      </w:r>
    </w:p>
    <w:p w14:paraId="06BB87A2" w14:textId="77777777" w:rsidR="00AF3403" w:rsidRDefault="00AF3403" w:rsidP="00AF3403">
      <w:pPr>
        <w:spacing w:line="480" w:lineRule="auto"/>
        <w:jc w:val="both"/>
        <w:rPr>
          <w:rFonts w:ascii="Arial" w:hAnsi="Arial" w:cs="Arial"/>
          <w:sz w:val="22"/>
          <w:szCs w:val="22"/>
        </w:rPr>
      </w:pPr>
      <w:r>
        <w:rPr>
          <w:rFonts w:ascii="Arial" w:hAnsi="Arial" w:cs="Arial"/>
          <w:sz w:val="22"/>
          <w:szCs w:val="22"/>
        </w:rPr>
        <w:t xml:space="preserve">The mutation rates (substitutions per year) of the eight segments are tabulated below which are derived from previous report [R3].  </w:t>
      </w:r>
    </w:p>
    <w:p w14:paraId="634EFE82" w14:textId="77777777" w:rsidR="00AF3403" w:rsidRDefault="00AF3403" w:rsidP="00AF3403">
      <w:pPr>
        <w:spacing w:line="360" w:lineRule="auto"/>
        <w:jc w:val="both"/>
        <w:rPr>
          <w:rFonts w:ascii="Arial" w:hAnsi="Arial" w:cs="Arial"/>
          <w:sz w:val="22"/>
          <w:szCs w:val="22"/>
        </w:rPr>
      </w:pPr>
    </w:p>
    <w:tbl>
      <w:tblPr>
        <w:tblStyle w:val="LightShading"/>
        <w:tblW w:w="5032" w:type="dxa"/>
        <w:jc w:val="center"/>
        <w:tblLook w:val="04A0" w:firstRow="1" w:lastRow="0" w:firstColumn="1" w:lastColumn="0" w:noHBand="0" w:noVBand="1"/>
      </w:tblPr>
      <w:tblGrid>
        <w:gridCol w:w="1259"/>
        <w:gridCol w:w="2249"/>
        <w:gridCol w:w="1524"/>
      </w:tblGrid>
      <w:tr w:rsidR="00AF3403" w14:paraId="584FE5B2" w14:textId="77777777" w:rsidTr="00AF34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vAlign w:val="center"/>
            <w:hideMark/>
          </w:tcPr>
          <w:p w14:paraId="6886A4F4" w14:textId="77777777" w:rsidR="00AF3403" w:rsidRDefault="00AF3403">
            <w:pPr>
              <w:jc w:val="center"/>
              <w:rPr>
                <w:rFonts w:ascii="Arial" w:hAnsi="Arial" w:cs="Arial"/>
                <w:sz w:val="22"/>
                <w:szCs w:val="22"/>
              </w:rPr>
            </w:pPr>
            <w:r>
              <w:rPr>
                <w:rFonts w:ascii="Arial" w:hAnsi="Arial" w:cs="Arial"/>
                <w:sz w:val="22"/>
                <w:szCs w:val="22"/>
              </w:rPr>
              <w:t>Segment</w:t>
            </w:r>
          </w:p>
        </w:tc>
        <w:tc>
          <w:tcPr>
            <w:tcW w:w="2249" w:type="dxa"/>
            <w:vAlign w:val="center"/>
            <w:hideMark/>
          </w:tcPr>
          <w:p w14:paraId="10731BC8" w14:textId="77777777" w:rsidR="00AF3403" w:rsidRDefault="00AF34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Substitutions/year</w:t>
            </w:r>
          </w:p>
        </w:tc>
        <w:tc>
          <w:tcPr>
            <w:tcW w:w="1524" w:type="dxa"/>
            <w:vAlign w:val="center"/>
            <w:hideMark/>
          </w:tcPr>
          <w:p w14:paraId="2AFD73CA" w14:textId="77777777" w:rsidR="00AF3403" w:rsidRDefault="00AF34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Pr(Segment)</w:t>
            </w:r>
          </w:p>
        </w:tc>
      </w:tr>
      <w:tr w:rsidR="00AF3403" w14:paraId="6C6A4EA6" w14:textId="77777777" w:rsidTr="00AF3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bottom w:val="nil"/>
            </w:tcBorders>
            <w:vAlign w:val="center"/>
            <w:hideMark/>
          </w:tcPr>
          <w:p w14:paraId="0C2BCB4A" w14:textId="77777777" w:rsidR="00AF3403" w:rsidRDefault="00AF3403">
            <w:pPr>
              <w:jc w:val="center"/>
              <w:rPr>
                <w:rFonts w:ascii="Arial" w:hAnsi="Arial" w:cs="Arial"/>
                <w:sz w:val="22"/>
                <w:szCs w:val="22"/>
              </w:rPr>
            </w:pPr>
            <w:r>
              <w:rPr>
                <w:rFonts w:ascii="Arial" w:hAnsi="Arial" w:cs="Arial"/>
                <w:sz w:val="22"/>
                <w:szCs w:val="22"/>
              </w:rPr>
              <w:t>1</w:t>
            </w:r>
          </w:p>
        </w:tc>
        <w:tc>
          <w:tcPr>
            <w:tcW w:w="2249" w:type="dxa"/>
            <w:tcBorders>
              <w:top w:val="nil"/>
              <w:bottom w:val="nil"/>
            </w:tcBorders>
            <w:hideMark/>
          </w:tcPr>
          <w:p w14:paraId="07227F66"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3.876</w:t>
            </w:r>
          </w:p>
        </w:tc>
        <w:tc>
          <w:tcPr>
            <w:tcW w:w="1524" w:type="dxa"/>
            <w:tcBorders>
              <w:top w:val="nil"/>
              <w:bottom w:val="nil"/>
            </w:tcBorders>
            <w:hideMark/>
          </w:tcPr>
          <w:p w14:paraId="517E114B"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0.15833398</w:t>
            </w:r>
          </w:p>
        </w:tc>
      </w:tr>
      <w:tr w:rsidR="00AF3403" w14:paraId="1717C795" w14:textId="77777777" w:rsidTr="00AF3403">
        <w:trPr>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left w:val="nil"/>
              <w:bottom w:val="nil"/>
              <w:right w:val="nil"/>
            </w:tcBorders>
            <w:vAlign w:val="center"/>
            <w:hideMark/>
          </w:tcPr>
          <w:p w14:paraId="45581F6E" w14:textId="77777777" w:rsidR="00AF3403" w:rsidRDefault="00AF3403">
            <w:pPr>
              <w:jc w:val="center"/>
              <w:rPr>
                <w:rFonts w:ascii="Arial" w:hAnsi="Arial" w:cs="Arial"/>
                <w:sz w:val="22"/>
                <w:szCs w:val="22"/>
              </w:rPr>
            </w:pPr>
            <w:r>
              <w:rPr>
                <w:rFonts w:ascii="Arial" w:hAnsi="Arial" w:cs="Arial"/>
                <w:sz w:val="22"/>
                <w:szCs w:val="22"/>
              </w:rPr>
              <w:t>2</w:t>
            </w:r>
          </w:p>
        </w:tc>
        <w:tc>
          <w:tcPr>
            <w:tcW w:w="2249" w:type="dxa"/>
            <w:tcBorders>
              <w:top w:val="nil"/>
              <w:left w:val="nil"/>
              <w:bottom w:val="nil"/>
              <w:right w:val="nil"/>
            </w:tcBorders>
            <w:hideMark/>
          </w:tcPr>
          <w:p w14:paraId="60BA92CE"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3.6384</w:t>
            </w:r>
          </w:p>
        </w:tc>
        <w:tc>
          <w:tcPr>
            <w:tcW w:w="1524" w:type="dxa"/>
            <w:tcBorders>
              <w:top w:val="nil"/>
              <w:left w:val="nil"/>
              <w:bottom w:val="nil"/>
              <w:right w:val="nil"/>
            </w:tcBorders>
            <w:hideMark/>
          </w:tcPr>
          <w:p w14:paraId="709ECC7D"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0.148628058</w:t>
            </w:r>
          </w:p>
        </w:tc>
      </w:tr>
      <w:tr w:rsidR="00AF3403" w14:paraId="0583C81D" w14:textId="77777777" w:rsidTr="00AF3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bottom w:val="nil"/>
            </w:tcBorders>
            <w:vAlign w:val="center"/>
            <w:hideMark/>
          </w:tcPr>
          <w:p w14:paraId="06504F76" w14:textId="77777777" w:rsidR="00AF3403" w:rsidRDefault="00AF3403">
            <w:pPr>
              <w:jc w:val="center"/>
              <w:rPr>
                <w:rFonts w:ascii="Arial" w:hAnsi="Arial" w:cs="Arial"/>
                <w:sz w:val="22"/>
                <w:szCs w:val="22"/>
              </w:rPr>
            </w:pPr>
            <w:r>
              <w:rPr>
                <w:rFonts w:ascii="Arial" w:hAnsi="Arial" w:cs="Arial"/>
                <w:sz w:val="22"/>
                <w:szCs w:val="22"/>
              </w:rPr>
              <w:t>3</w:t>
            </w:r>
          </w:p>
        </w:tc>
        <w:tc>
          <w:tcPr>
            <w:tcW w:w="2249" w:type="dxa"/>
            <w:tcBorders>
              <w:top w:val="nil"/>
              <w:bottom w:val="nil"/>
            </w:tcBorders>
            <w:hideMark/>
          </w:tcPr>
          <w:p w14:paraId="52051B69"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4.0869</w:t>
            </w:r>
          </w:p>
        </w:tc>
        <w:tc>
          <w:tcPr>
            <w:tcW w:w="1524" w:type="dxa"/>
            <w:tcBorders>
              <w:top w:val="nil"/>
              <w:bottom w:val="nil"/>
            </w:tcBorders>
            <w:hideMark/>
          </w:tcPr>
          <w:p w14:paraId="28F9782B"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0.166949211</w:t>
            </w:r>
          </w:p>
        </w:tc>
      </w:tr>
      <w:tr w:rsidR="00AF3403" w14:paraId="77F26A59" w14:textId="77777777" w:rsidTr="00AF3403">
        <w:trPr>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left w:val="nil"/>
              <w:bottom w:val="nil"/>
              <w:right w:val="nil"/>
            </w:tcBorders>
            <w:vAlign w:val="center"/>
            <w:hideMark/>
          </w:tcPr>
          <w:p w14:paraId="2BA0C6BF" w14:textId="77777777" w:rsidR="00AF3403" w:rsidRDefault="00AF3403">
            <w:pPr>
              <w:jc w:val="center"/>
              <w:rPr>
                <w:rFonts w:ascii="Arial" w:hAnsi="Arial" w:cs="Arial"/>
                <w:sz w:val="22"/>
                <w:szCs w:val="22"/>
              </w:rPr>
            </w:pPr>
            <w:r>
              <w:rPr>
                <w:rFonts w:ascii="Arial" w:hAnsi="Arial" w:cs="Arial"/>
                <w:sz w:val="22"/>
                <w:szCs w:val="22"/>
              </w:rPr>
              <w:t>4</w:t>
            </w:r>
          </w:p>
        </w:tc>
        <w:tc>
          <w:tcPr>
            <w:tcW w:w="2249" w:type="dxa"/>
            <w:tcBorders>
              <w:top w:val="nil"/>
              <w:left w:val="nil"/>
              <w:bottom w:val="nil"/>
              <w:right w:val="nil"/>
            </w:tcBorders>
            <w:hideMark/>
          </w:tcPr>
          <w:p w14:paraId="51F5486E"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4.4997</w:t>
            </w:r>
          </w:p>
        </w:tc>
        <w:tc>
          <w:tcPr>
            <w:tcW w:w="1524" w:type="dxa"/>
            <w:tcBorders>
              <w:top w:val="nil"/>
              <w:left w:val="nil"/>
              <w:bottom w:val="nil"/>
              <w:right w:val="nil"/>
            </w:tcBorders>
            <w:hideMark/>
          </w:tcPr>
          <w:p w14:paraId="49E882E5"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0.183812025</w:t>
            </w:r>
          </w:p>
        </w:tc>
      </w:tr>
      <w:tr w:rsidR="00AF3403" w14:paraId="3DC12752" w14:textId="77777777" w:rsidTr="00AF3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bottom w:val="nil"/>
            </w:tcBorders>
            <w:vAlign w:val="center"/>
            <w:hideMark/>
          </w:tcPr>
          <w:p w14:paraId="29E6CC66" w14:textId="77777777" w:rsidR="00AF3403" w:rsidRDefault="00AF3403">
            <w:pPr>
              <w:jc w:val="center"/>
              <w:rPr>
                <w:rFonts w:ascii="Arial" w:hAnsi="Arial" w:cs="Arial"/>
                <w:sz w:val="22"/>
                <w:szCs w:val="22"/>
              </w:rPr>
            </w:pPr>
            <w:r>
              <w:rPr>
                <w:rFonts w:ascii="Arial" w:hAnsi="Arial" w:cs="Arial"/>
                <w:sz w:val="22"/>
                <w:szCs w:val="22"/>
              </w:rPr>
              <w:t>5</w:t>
            </w:r>
          </w:p>
        </w:tc>
        <w:tc>
          <w:tcPr>
            <w:tcW w:w="2249" w:type="dxa"/>
            <w:tcBorders>
              <w:top w:val="nil"/>
              <w:bottom w:val="nil"/>
            </w:tcBorders>
            <w:hideMark/>
          </w:tcPr>
          <w:p w14:paraId="163C2678"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2.994</w:t>
            </w:r>
          </w:p>
        </w:tc>
        <w:tc>
          <w:tcPr>
            <w:tcW w:w="1524" w:type="dxa"/>
            <w:tcBorders>
              <w:top w:val="nil"/>
              <w:bottom w:val="nil"/>
            </w:tcBorders>
            <w:hideMark/>
          </w:tcPr>
          <w:p w14:paraId="1C9C9307"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0.122304421</w:t>
            </w:r>
          </w:p>
        </w:tc>
      </w:tr>
      <w:tr w:rsidR="00AF3403" w14:paraId="375B8A42" w14:textId="77777777" w:rsidTr="00AF3403">
        <w:trPr>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left w:val="nil"/>
              <w:bottom w:val="nil"/>
              <w:right w:val="nil"/>
            </w:tcBorders>
            <w:vAlign w:val="center"/>
            <w:hideMark/>
          </w:tcPr>
          <w:p w14:paraId="360E3BF9" w14:textId="77777777" w:rsidR="00AF3403" w:rsidRDefault="00AF3403">
            <w:pPr>
              <w:jc w:val="center"/>
              <w:rPr>
                <w:rFonts w:ascii="Arial" w:hAnsi="Arial" w:cs="Arial"/>
                <w:sz w:val="22"/>
                <w:szCs w:val="22"/>
              </w:rPr>
            </w:pPr>
            <w:r>
              <w:rPr>
                <w:rFonts w:ascii="Arial" w:hAnsi="Arial" w:cs="Arial"/>
                <w:sz w:val="22"/>
                <w:szCs w:val="22"/>
              </w:rPr>
              <w:t>6</w:t>
            </w:r>
          </w:p>
        </w:tc>
        <w:tc>
          <w:tcPr>
            <w:tcW w:w="2249" w:type="dxa"/>
            <w:tcBorders>
              <w:top w:val="nil"/>
              <w:left w:val="nil"/>
              <w:bottom w:val="nil"/>
              <w:right w:val="nil"/>
            </w:tcBorders>
            <w:hideMark/>
          </w:tcPr>
          <w:p w14:paraId="5B1F885C"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3.3135</w:t>
            </w:r>
          </w:p>
        </w:tc>
        <w:tc>
          <w:tcPr>
            <w:tcW w:w="1524" w:type="dxa"/>
            <w:tcBorders>
              <w:top w:val="nil"/>
              <w:left w:val="nil"/>
              <w:bottom w:val="nil"/>
              <w:right w:val="nil"/>
            </w:tcBorders>
            <w:hideMark/>
          </w:tcPr>
          <w:p w14:paraId="63BF2782"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0.135355945</w:t>
            </w:r>
          </w:p>
        </w:tc>
      </w:tr>
      <w:tr w:rsidR="00AF3403" w14:paraId="4AA11DC3" w14:textId="77777777" w:rsidTr="00AF3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bottom w:val="nil"/>
            </w:tcBorders>
            <w:vAlign w:val="center"/>
            <w:hideMark/>
          </w:tcPr>
          <w:p w14:paraId="4DD3CC42" w14:textId="77777777" w:rsidR="00AF3403" w:rsidRDefault="00AF3403">
            <w:pPr>
              <w:jc w:val="center"/>
              <w:rPr>
                <w:rFonts w:ascii="Arial" w:hAnsi="Arial" w:cs="Arial"/>
                <w:sz w:val="22"/>
                <w:szCs w:val="22"/>
              </w:rPr>
            </w:pPr>
            <w:r>
              <w:rPr>
                <w:rFonts w:ascii="Arial" w:hAnsi="Arial" w:cs="Arial"/>
                <w:sz w:val="22"/>
                <w:szCs w:val="22"/>
              </w:rPr>
              <w:t>7</w:t>
            </w:r>
          </w:p>
        </w:tc>
        <w:tc>
          <w:tcPr>
            <w:tcW w:w="2249" w:type="dxa"/>
            <w:tcBorders>
              <w:top w:val="nil"/>
              <w:bottom w:val="nil"/>
            </w:tcBorders>
            <w:hideMark/>
          </w:tcPr>
          <w:p w14:paraId="514FE85A"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0.982</w:t>
            </w:r>
          </w:p>
        </w:tc>
        <w:tc>
          <w:tcPr>
            <w:tcW w:w="1524" w:type="dxa"/>
            <w:tcBorders>
              <w:top w:val="nil"/>
              <w:bottom w:val="nil"/>
            </w:tcBorders>
            <w:hideMark/>
          </w:tcPr>
          <w:p w14:paraId="01919F83"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0.040114543</w:t>
            </w:r>
          </w:p>
        </w:tc>
      </w:tr>
      <w:tr w:rsidR="00AF3403" w14:paraId="60FD04E4" w14:textId="77777777" w:rsidTr="00AF3403">
        <w:trPr>
          <w:jc w:val="center"/>
        </w:trPr>
        <w:tc>
          <w:tcPr>
            <w:cnfStyle w:val="001000000000" w:firstRow="0" w:lastRow="0" w:firstColumn="1" w:lastColumn="0" w:oddVBand="0" w:evenVBand="0" w:oddHBand="0" w:evenHBand="0" w:firstRowFirstColumn="0" w:firstRowLastColumn="0" w:lastRowFirstColumn="0" w:lastRowLastColumn="0"/>
            <w:tcW w:w="1259" w:type="dxa"/>
            <w:tcBorders>
              <w:top w:val="nil"/>
              <w:left w:val="nil"/>
              <w:bottom w:val="single" w:sz="4" w:space="0" w:color="auto"/>
              <w:right w:val="nil"/>
            </w:tcBorders>
            <w:vAlign w:val="center"/>
            <w:hideMark/>
          </w:tcPr>
          <w:p w14:paraId="21FF8C06" w14:textId="77777777" w:rsidR="00AF3403" w:rsidRDefault="00AF3403">
            <w:pPr>
              <w:jc w:val="center"/>
              <w:rPr>
                <w:rFonts w:ascii="Arial" w:hAnsi="Arial" w:cs="Arial"/>
                <w:sz w:val="22"/>
                <w:szCs w:val="22"/>
              </w:rPr>
            </w:pPr>
            <w:r>
              <w:rPr>
                <w:rFonts w:ascii="Arial" w:hAnsi="Arial" w:cs="Arial"/>
                <w:sz w:val="22"/>
                <w:szCs w:val="22"/>
              </w:rPr>
              <w:t>8</w:t>
            </w:r>
          </w:p>
        </w:tc>
        <w:tc>
          <w:tcPr>
            <w:tcW w:w="2249" w:type="dxa"/>
            <w:tcBorders>
              <w:top w:val="nil"/>
              <w:left w:val="nil"/>
              <w:bottom w:val="single" w:sz="4" w:space="0" w:color="auto"/>
              <w:right w:val="nil"/>
            </w:tcBorders>
            <w:hideMark/>
          </w:tcPr>
          <w:p w14:paraId="63AB7A60"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1.0894</w:t>
            </w:r>
          </w:p>
        </w:tc>
        <w:tc>
          <w:tcPr>
            <w:tcW w:w="1524" w:type="dxa"/>
            <w:tcBorders>
              <w:top w:val="nil"/>
              <w:left w:val="nil"/>
              <w:bottom w:val="single" w:sz="4" w:space="0" w:color="auto"/>
              <w:right w:val="nil"/>
            </w:tcBorders>
            <w:hideMark/>
          </w:tcPr>
          <w:p w14:paraId="4482978E" w14:textId="77777777" w:rsidR="00AF3403" w:rsidRDefault="00AF3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0.044501816</w:t>
            </w:r>
          </w:p>
        </w:tc>
      </w:tr>
      <w:tr w:rsidR="00AF3403" w14:paraId="018D4F63" w14:textId="77777777" w:rsidTr="00AF3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bottom w:val="single" w:sz="4" w:space="0" w:color="auto"/>
            </w:tcBorders>
            <w:vAlign w:val="center"/>
            <w:hideMark/>
          </w:tcPr>
          <w:p w14:paraId="65B184A7" w14:textId="77777777" w:rsidR="00AF3403" w:rsidRDefault="00AF3403">
            <w:pPr>
              <w:jc w:val="center"/>
              <w:rPr>
                <w:rFonts w:ascii="Arial" w:hAnsi="Arial" w:cs="Arial"/>
                <w:sz w:val="22"/>
                <w:szCs w:val="22"/>
              </w:rPr>
            </w:pPr>
            <w:r>
              <w:rPr>
                <w:rFonts w:ascii="Arial" w:hAnsi="Arial" w:cs="Arial"/>
                <w:sz w:val="22"/>
                <w:szCs w:val="22"/>
              </w:rPr>
              <w:t>Total</w:t>
            </w:r>
          </w:p>
        </w:tc>
        <w:tc>
          <w:tcPr>
            <w:tcW w:w="2249" w:type="dxa"/>
            <w:tcBorders>
              <w:top w:val="single" w:sz="4" w:space="0" w:color="auto"/>
              <w:bottom w:val="single" w:sz="4" w:space="0" w:color="auto"/>
            </w:tcBorders>
            <w:hideMark/>
          </w:tcPr>
          <w:p w14:paraId="663AF519"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24.4799</w:t>
            </w:r>
          </w:p>
        </w:tc>
        <w:tc>
          <w:tcPr>
            <w:tcW w:w="1524" w:type="dxa"/>
            <w:tcBorders>
              <w:top w:val="single" w:sz="4" w:space="0" w:color="auto"/>
              <w:bottom w:val="single" w:sz="4" w:space="0" w:color="auto"/>
            </w:tcBorders>
            <w:hideMark/>
          </w:tcPr>
          <w:p w14:paraId="7ED9B8A3" w14:textId="77777777" w:rsidR="00AF3403" w:rsidRDefault="00AF34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w:t>
            </w:r>
          </w:p>
        </w:tc>
      </w:tr>
    </w:tbl>
    <w:p w14:paraId="252B3A58" w14:textId="77777777" w:rsidR="00AF3403" w:rsidRDefault="00AF3403" w:rsidP="00AF3403">
      <w:pPr>
        <w:spacing w:line="360" w:lineRule="auto"/>
        <w:jc w:val="both"/>
        <w:rPr>
          <w:rFonts w:ascii="Arial" w:hAnsi="Arial" w:cs="Arial"/>
          <w:sz w:val="22"/>
          <w:szCs w:val="22"/>
        </w:rPr>
      </w:pPr>
    </w:p>
    <w:p w14:paraId="066A1059" w14:textId="77777777" w:rsidR="00AF3403" w:rsidRDefault="00AF3403" w:rsidP="00AF3403">
      <w:pPr>
        <w:spacing w:line="480" w:lineRule="auto"/>
        <w:ind w:left="357" w:hanging="357"/>
        <w:contextualSpacing/>
        <w:jc w:val="both"/>
        <w:rPr>
          <w:rFonts w:ascii="Arial" w:hAnsi="Arial" w:cs="Arial"/>
          <w:sz w:val="22"/>
          <w:szCs w:val="22"/>
        </w:rPr>
      </w:pPr>
      <w:r>
        <w:rPr>
          <w:rFonts w:ascii="Arial" w:hAnsi="Arial" w:cs="Arial"/>
          <w:sz w:val="22"/>
          <w:szCs w:val="22"/>
        </w:rPr>
        <w:t>References for Text S2:</w:t>
      </w:r>
    </w:p>
    <w:p w14:paraId="2E01E529" w14:textId="77777777" w:rsidR="00AF3403" w:rsidRDefault="00AF3403" w:rsidP="00AF3403">
      <w:pPr>
        <w:pStyle w:val="ListParagraph"/>
        <w:numPr>
          <w:ilvl w:val="0"/>
          <w:numId w:val="2"/>
        </w:numPr>
        <w:spacing w:line="480" w:lineRule="auto"/>
        <w:ind w:left="357" w:hanging="357"/>
        <w:jc w:val="both"/>
        <w:rPr>
          <w:rFonts w:ascii="Arial" w:hAnsi="Arial" w:cs="Arial"/>
          <w:sz w:val="22"/>
          <w:szCs w:val="22"/>
        </w:rPr>
      </w:pPr>
      <w:r>
        <w:rPr>
          <w:rFonts w:ascii="Arial" w:hAnsi="Arial" w:cs="Arial"/>
          <w:sz w:val="22"/>
          <w:szCs w:val="22"/>
        </w:rPr>
        <w:t>Bhatt S, Holmes EC, Pybus OG. The Genomic Rate of Molecular Adaptation of the Human Inﬂuenza A Virus. Mol Biol Evol 2011 28:2443-2451.</w:t>
      </w:r>
    </w:p>
    <w:p w14:paraId="19C12848" w14:textId="77777777" w:rsidR="00AF3403" w:rsidRDefault="00AF3403" w:rsidP="00AF3403">
      <w:pPr>
        <w:pStyle w:val="ListParagraph"/>
        <w:numPr>
          <w:ilvl w:val="0"/>
          <w:numId w:val="2"/>
        </w:numPr>
        <w:spacing w:line="480" w:lineRule="auto"/>
        <w:ind w:left="357" w:hanging="357"/>
        <w:jc w:val="both"/>
        <w:rPr>
          <w:rFonts w:ascii="Arial" w:hAnsi="Arial" w:cs="Arial"/>
          <w:sz w:val="22"/>
          <w:szCs w:val="22"/>
        </w:rPr>
      </w:pPr>
      <w:r>
        <w:rPr>
          <w:rFonts w:ascii="Arial" w:hAnsi="Arial" w:cs="Arial"/>
          <w:sz w:val="22"/>
          <w:szCs w:val="22"/>
        </w:rPr>
        <w:t>Lu L, Lycett SJ, Brown AJL. Reassortment patterns of avian influenza virus internal segments among different subtypes. BMC Evol Biol 2014 14:16.</w:t>
      </w:r>
    </w:p>
    <w:p w14:paraId="22330DD7" w14:textId="77777777" w:rsidR="00AF3403" w:rsidRDefault="00AF3403" w:rsidP="00AF3403">
      <w:pPr>
        <w:pStyle w:val="ListParagraph"/>
        <w:numPr>
          <w:ilvl w:val="0"/>
          <w:numId w:val="2"/>
        </w:numPr>
        <w:spacing w:line="480" w:lineRule="auto"/>
        <w:ind w:left="357" w:hanging="357"/>
        <w:jc w:val="both"/>
        <w:rPr>
          <w:rFonts w:ascii="Arial" w:hAnsi="Arial" w:cs="Arial"/>
          <w:sz w:val="22"/>
          <w:szCs w:val="22"/>
        </w:rPr>
      </w:pPr>
      <w:r>
        <w:rPr>
          <w:rFonts w:ascii="Arial" w:hAnsi="Arial" w:cs="Arial"/>
          <w:sz w:val="22"/>
          <w:szCs w:val="22"/>
        </w:rPr>
        <w:t>Worobey M, Han GZ, Rambaut A. A synchronized global sweep of the internal genes of modern avian influenza virus. Nature 2014 508:254-257.</w:t>
      </w:r>
    </w:p>
    <w:p w14:paraId="1BA6AB5D" w14:textId="77777777" w:rsidR="00AF3403" w:rsidRDefault="00AF3403" w:rsidP="00AF3403">
      <w:pPr>
        <w:spacing w:line="480" w:lineRule="auto"/>
        <w:ind w:left="357" w:hanging="357"/>
        <w:contextualSpacing/>
        <w:jc w:val="both"/>
        <w:rPr>
          <w:rFonts w:ascii="Arial" w:hAnsi="Arial" w:cs="Arial"/>
          <w:sz w:val="22"/>
          <w:szCs w:val="22"/>
        </w:rPr>
      </w:pPr>
    </w:p>
    <w:p w14:paraId="6408DE18" w14:textId="77777777" w:rsidR="00AF3403" w:rsidRDefault="00AF3403" w:rsidP="00AF3403">
      <w:pPr>
        <w:spacing w:line="480" w:lineRule="auto"/>
        <w:ind w:left="357" w:hanging="357"/>
        <w:contextualSpacing/>
        <w:jc w:val="both"/>
        <w:rPr>
          <w:rFonts w:ascii="Arial" w:hAnsi="Arial" w:cs="Arial"/>
          <w:sz w:val="22"/>
          <w:szCs w:val="22"/>
        </w:rPr>
      </w:pPr>
    </w:p>
    <w:p w14:paraId="433D35F8" w14:textId="77777777" w:rsidR="00AF3403" w:rsidRDefault="00AF3403" w:rsidP="00AF3403">
      <w:pPr>
        <w:spacing w:line="480" w:lineRule="auto"/>
        <w:ind w:left="357" w:hanging="357"/>
        <w:contextualSpacing/>
        <w:jc w:val="both"/>
        <w:rPr>
          <w:rFonts w:ascii="Arial" w:hAnsi="Arial" w:cs="Arial"/>
          <w:sz w:val="22"/>
          <w:szCs w:val="22"/>
        </w:rPr>
      </w:pPr>
    </w:p>
    <w:p w14:paraId="1E4C34D3" w14:textId="77777777" w:rsidR="00AF3403" w:rsidRDefault="00AF3403" w:rsidP="00AF3403">
      <w:pPr>
        <w:spacing w:line="480" w:lineRule="auto"/>
        <w:ind w:left="357" w:hanging="357"/>
        <w:contextualSpacing/>
        <w:jc w:val="both"/>
        <w:rPr>
          <w:rFonts w:ascii="Arial" w:hAnsi="Arial" w:cs="Arial"/>
          <w:sz w:val="22"/>
          <w:szCs w:val="22"/>
        </w:rPr>
      </w:pPr>
    </w:p>
    <w:p w14:paraId="6C93524C" w14:textId="77777777" w:rsidR="00AF3403" w:rsidRDefault="00AF3403" w:rsidP="00AF3403">
      <w:pPr>
        <w:spacing w:line="480" w:lineRule="auto"/>
        <w:ind w:left="357" w:hanging="357"/>
        <w:contextualSpacing/>
        <w:jc w:val="both"/>
        <w:rPr>
          <w:rFonts w:ascii="Arial" w:hAnsi="Arial" w:cs="Arial"/>
          <w:sz w:val="22"/>
          <w:szCs w:val="22"/>
        </w:rPr>
      </w:pPr>
    </w:p>
    <w:p w14:paraId="6AC93108" w14:textId="77777777" w:rsidR="00FB6DF0" w:rsidRDefault="00FB6DF0"/>
    <w:sectPr w:rsidR="00FB6D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5DA8"/>
    <w:multiLevelType w:val="hybridMultilevel"/>
    <w:tmpl w:val="8B886090"/>
    <w:lvl w:ilvl="0" w:tplc="9892AE30">
      <w:start w:val="1"/>
      <w:numFmt w:val="decimal"/>
      <w:lvlText w:val="R%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
    <w:nsid w:val="6CFA0029"/>
    <w:multiLevelType w:val="hybridMultilevel"/>
    <w:tmpl w:val="43FA5BE2"/>
    <w:lvl w:ilvl="0" w:tplc="48090019">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03"/>
    <w:rsid w:val="00233F41"/>
    <w:rsid w:val="00683FE1"/>
    <w:rsid w:val="00835FE7"/>
    <w:rsid w:val="00AF3403"/>
    <w:rsid w:val="00FB6DF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A5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40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03"/>
    <w:pPr>
      <w:ind w:left="720"/>
      <w:contextualSpacing/>
    </w:pPr>
  </w:style>
  <w:style w:type="table" w:styleId="LightShading">
    <w:name w:val="Light Shading"/>
    <w:basedOn w:val="TableNormal"/>
    <w:uiPriority w:val="60"/>
    <w:rsid w:val="00AF34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40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03"/>
    <w:pPr>
      <w:ind w:left="720"/>
      <w:contextualSpacing/>
    </w:pPr>
  </w:style>
  <w:style w:type="table" w:styleId="LightShading">
    <w:name w:val="Light Shading"/>
    <w:basedOn w:val="TableNormal"/>
    <w:uiPriority w:val="60"/>
    <w:rsid w:val="00AF34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2030</Characters>
  <Application>Microsoft Macintosh Word</Application>
  <DocSecurity>0</DocSecurity>
  <Lines>16</Lines>
  <Paragraphs>4</Paragraphs>
  <ScaleCrop>false</ScaleCrop>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Wee</cp:lastModifiedBy>
  <cp:revision>4</cp:revision>
  <dcterms:created xsi:type="dcterms:W3CDTF">2015-06-05T02:57:00Z</dcterms:created>
  <dcterms:modified xsi:type="dcterms:W3CDTF">2015-11-25T09:09:00Z</dcterms:modified>
</cp:coreProperties>
</file>