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A4" w:rsidRDefault="00B671A4" w:rsidP="00B671A4">
      <w:pPr>
        <w:spacing w:line="240" w:lineRule="auto"/>
      </w:pPr>
      <w:r>
        <w:rPr>
          <w:noProof/>
          <w:lang w:val="fr-FR"/>
        </w:rPr>
        <w:drawing>
          <wp:inline distT="0" distB="0" distL="0" distR="0">
            <wp:extent cx="6628406" cy="5891917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ure2_CLL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580" cy="589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A4" w:rsidRDefault="00B671A4" w:rsidP="00B671A4">
      <w:pPr>
        <w:spacing w:line="240" w:lineRule="auto"/>
      </w:pPr>
      <w:r>
        <w:t xml:space="preserve">Figure S2.  </w:t>
      </w:r>
      <w:proofErr w:type="gramStart"/>
      <w:r>
        <w:t>Construction of the Somatic Mutation (SOM) model for CLL.</w:t>
      </w:r>
      <w:proofErr w:type="gramEnd"/>
      <w:r>
        <w:t xml:space="preserve">  </w:t>
      </w:r>
      <w:r>
        <w:rPr>
          <w:b/>
        </w:rPr>
        <w:t>A</w:t>
      </w:r>
      <w:r>
        <w:t>. Relative density of somatic mutations f</w:t>
      </w:r>
      <w:r w:rsidR="006C50FF">
        <w:t>rom whole genome sequences of 28</w:t>
      </w:r>
      <w:r>
        <w:t xml:space="preserve"> </w:t>
      </w:r>
      <w:r w:rsidR="006C50FF">
        <w:t xml:space="preserve">CLL </w:t>
      </w:r>
      <w:proofErr w:type="gramStart"/>
      <w:r w:rsidR="006C50FF">
        <w:t>samples</w:t>
      </w:r>
      <w:r>
        <w:t>,</w:t>
      </w:r>
      <w:proofErr w:type="gramEnd"/>
      <w:r>
        <w:t xml:space="preserve"> associated to different genome features (see Methods for feature details). Mutation density is normalized so that the whole genome average has a mutation density of 1. </w:t>
      </w:r>
      <w:proofErr w:type="spellStart"/>
      <w:r>
        <w:t>PCgene</w:t>
      </w:r>
      <w:proofErr w:type="spellEnd"/>
      <w:r>
        <w:t xml:space="preserve">: protein coding gene; CDS: coding sequence;  </w:t>
      </w:r>
      <w:proofErr w:type="spellStart"/>
      <w:r>
        <w:t>Exon.P</w:t>
      </w:r>
      <w:proofErr w:type="spellEnd"/>
      <w:r>
        <w:t xml:space="preserve"> , </w:t>
      </w:r>
      <w:proofErr w:type="spellStart"/>
      <w:r>
        <w:t>Intron.P</w:t>
      </w:r>
      <w:proofErr w:type="spellEnd"/>
      <w:r>
        <w:t xml:space="preserve">, </w:t>
      </w:r>
      <w:proofErr w:type="spellStart"/>
      <w:r>
        <w:t>Exon.L,Intron.L</w:t>
      </w:r>
      <w:proofErr w:type="spellEnd"/>
      <w:r>
        <w:t xml:space="preserve"> are exon and intron of protein coding gene and </w:t>
      </w:r>
      <w:proofErr w:type="spellStart"/>
      <w:r>
        <w:t>lncRNA</w:t>
      </w:r>
      <w:proofErr w:type="spellEnd"/>
      <w:r>
        <w:t xml:space="preserve"> respectively; CR: conserved region; DNase: DNase I hypersensitive site; ECS: evolutionarily conserved structure;  </w:t>
      </w:r>
      <w:proofErr w:type="spellStart"/>
      <w:r>
        <w:t>ncExon</w:t>
      </w:r>
      <w:proofErr w:type="spellEnd"/>
      <w:r>
        <w:t xml:space="preserve">: non-coding exon; </w:t>
      </w:r>
      <w:proofErr w:type="spellStart"/>
      <w:r>
        <w:t>PCgene.HE</w:t>
      </w:r>
      <w:proofErr w:type="spellEnd"/>
      <w:r>
        <w:t xml:space="preserve">, </w:t>
      </w:r>
      <w:proofErr w:type="spellStart"/>
      <w:r>
        <w:t>LncRNA.HE</w:t>
      </w:r>
      <w:proofErr w:type="spellEnd"/>
      <w:r>
        <w:t xml:space="preserve">, </w:t>
      </w:r>
      <w:proofErr w:type="spellStart"/>
      <w:r>
        <w:t>PCgene.LE</w:t>
      </w:r>
      <w:proofErr w:type="spellEnd"/>
      <w:r>
        <w:t xml:space="preserve"> and </w:t>
      </w:r>
      <w:proofErr w:type="spellStart"/>
      <w:r>
        <w:t>LncRNA.LE</w:t>
      </w:r>
      <w:proofErr w:type="spellEnd"/>
      <w:r>
        <w:t xml:space="preserve"> are high expressed and low expressed protein coding gene and </w:t>
      </w:r>
      <w:proofErr w:type="spellStart"/>
      <w:r>
        <w:t>lncRNA</w:t>
      </w:r>
      <w:proofErr w:type="spellEnd"/>
      <w:r>
        <w:t xml:space="preserve">; </w:t>
      </w:r>
      <w:proofErr w:type="spellStart"/>
      <w:r>
        <w:t>PCgene.early</w:t>
      </w:r>
      <w:proofErr w:type="spellEnd"/>
      <w:r>
        <w:t xml:space="preserve">, </w:t>
      </w:r>
      <w:proofErr w:type="spellStart"/>
      <w:r>
        <w:t>LncRNA.early</w:t>
      </w:r>
      <w:proofErr w:type="spellEnd"/>
      <w:r>
        <w:t xml:space="preserve">, </w:t>
      </w:r>
      <w:proofErr w:type="spellStart"/>
      <w:r>
        <w:t>PCgene.late</w:t>
      </w:r>
      <w:proofErr w:type="spellEnd"/>
      <w:r>
        <w:t xml:space="preserve"> and </w:t>
      </w:r>
      <w:proofErr w:type="spellStart"/>
      <w:r>
        <w:t>LncRNA.late</w:t>
      </w:r>
      <w:proofErr w:type="spellEnd"/>
      <w:r>
        <w:t xml:space="preserve"> are early and late replicated protein coding gene and </w:t>
      </w:r>
      <w:proofErr w:type="spellStart"/>
      <w:r>
        <w:t>lncRNA</w:t>
      </w:r>
      <w:proofErr w:type="spellEnd"/>
      <w:r>
        <w:t xml:space="preserve">; </w:t>
      </w:r>
      <w:proofErr w:type="spellStart"/>
      <w:r>
        <w:t>cTFBS</w:t>
      </w:r>
      <w:proofErr w:type="spellEnd"/>
      <w:r>
        <w:t>: conserved transcription factor binding site</w:t>
      </w:r>
      <w:r w:rsidRPr="00AF71CB">
        <w:t xml:space="preserve">; RR H,RR L,GC H,GC </w:t>
      </w:r>
      <w:proofErr w:type="spellStart"/>
      <w:r w:rsidRPr="00AF71CB">
        <w:t>L,DNA.met</w:t>
      </w:r>
      <w:proofErr w:type="spellEnd"/>
      <w:r w:rsidRPr="00AF71CB">
        <w:t xml:space="preserve"> H and </w:t>
      </w:r>
      <w:proofErr w:type="spellStart"/>
      <w:r w:rsidRPr="00AF71CB">
        <w:t>DNA.met</w:t>
      </w:r>
      <w:proofErr w:type="spellEnd"/>
      <w:r w:rsidRPr="00AF71CB">
        <w:t xml:space="preserve"> L are 1-Kb windows with high recombination rate (&gt; 4.0), low recombination rate (&lt; 0.5), high GC content (GC % &gt; 50%), low GC content (GC%&lt;30%), high DNA methylation (average value &gt; 0.7245) and low DNA methylation (average value &lt; 0.4062) respectively;</w:t>
      </w:r>
      <w:r>
        <w:t xml:space="preserve"> Red and blue dotted lines: base lines from CDS and intergenic regions; </w:t>
      </w:r>
      <w:r>
        <w:rPr>
          <w:b/>
        </w:rPr>
        <w:t>B:</w:t>
      </w:r>
      <w:r>
        <w:t xml:space="preserve"> Feature importance as measured by </w:t>
      </w:r>
      <w:proofErr w:type="spellStart"/>
      <w:r>
        <w:rPr>
          <w:rFonts w:eastAsia="Times New Roman" w:cs="Times New Roman"/>
        </w:rPr>
        <w:t>IncNodePurity</w:t>
      </w:r>
      <w:proofErr w:type="spellEnd"/>
      <w:r>
        <w:t xml:space="preserve">. We only show here features that passed feature selection. </w:t>
      </w:r>
      <w:r>
        <w:rPr>
          <w:b/>
        </w:rPr>
        <w:t>C</w:t>
      </w:r>
      <w:r>
        <w:t>. Distribution of SOM scores for neutral SNPs and for clinical variants from two disease-</w:t>
      </w:r>
      <w:r>
        <w:lastRenderedPageBreak/>
        <w:t xml:space="preserve">causing variants databases </w:t>
      </w:r>
      <w:proofErr w:type="spellStart"/>
      <w:r>
        <w:t>Clivariant</w:t>
      </w:r>
      <w:proofErr w:type="spellEnd"/>
      <w:r>
        <w:t xml:space="preserve"> and HGMD. Neutral SNPs here are the SNPs with allele frequency higher than 0.01 from the 1000 Genome </w:t>
      </w:r>
      <w:r w:rsidRPr="00AF71CB">
        <w:t xml:space="preserve">project, SOM scores were predicted by the random forest model and divided by the number of patients. </w:t>
      </w:r>
      <w:r>
        <w:rPr>
          <w:b/>
        </w:rPr>
        <w:t>D</w:t>
      </w:r>
      <w:r>
        <w:t xml:space="preserve">. Correlation of SOM </w:t>
      </w:r>
      <w:proofErr w:type="gramStart"/>
      <w:r>
        <w:t>score</w:t>
      </w:r>
      <w:proofErr w:type="gramEnd"/>
      <w:r>
        <w:t xml:space="preserve"> with densities of disease-causing variants. The purple dotted line shows cutoff used for defining low SOM score in </w:t>
      </w:r>
      <w:r w:rsidR="00256A06">
        <w:rPr>
          <w:rFonts w:eastAsiaTheme="minorEastAsia" w:hint="eastAsia"/>
        </w:rPr>
        <w:t>CLL</w:t>
      </w:r>
      <w:bookmarkStart w:id="0" w:name="_GoBack"/>
      <w:bookmarkEnd w:id="0"/>
      <w:r>
        <w:t>.</w:t>
      </w:r>
    </w:p>
    <w:p w:rsidR="00B671A4" w:rsidRDefault="00B671A4">
      <w:pPr>
        <w:rPr>
          <w:noProof/>
        </w:rPr>
      </w:pPr>
    </w:p>
    <w:p w:rsidR="00B671A4" w:rsidRDefault="00B671A4">
      <w:pPr>
        <w:rPr>
          <w:noProof/>
        </w:rPr>
      </w:pPr>
    </w:p>
    <w:p w:rsidR="00B671A4" w:rsidRDefault="00B671A4">
      <w:pPr>
        <w:rPr>
          <w:noProof/>
        </w:rPr>
      </w:pPr>
    </w:p>
    <w:p w:rsidR="00B671A4" w:rsidRDefault="00B671A4">
      <w:pPr>
        <w:rPr>
          <w:noProof/>
        </w:rPr>
      </w:pPr>
    </w:p>
    <w:p w:rsidR="00B671A4" w:rsidRDefault="00B671A4">
      <w:pPr>
        <w:rPr>
          <w:noProof/>
        </w:rPr>
      </w:pPr>
    </w:p>
    <w:p w:rsidR="00950EAC" w:rsidRDefault="00B671A4">
      <w:r>
        <w:rPr>
          <w:noProof/>
          <w:lang w:val="fr-FR"/>
        </w:rPr>
        <w:drawing>
          <wp:inline distT="0" distB="0" distL="0" distR="0">
            <wp:extent cx="6699967" cy="5955527"/>
            <wp:effectExtent l="0" t="0" r="571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ure2_CLL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593" cy="595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BD"/>
    <w:rsid w:val="00256A06"/>
    <w:rsid w:val="006C50FF"/>
    <w:rsid w:val="00950EAC"/>
    <w:rsid w:val="00B671A4"/>
    <w:rsid w:val="00D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71A4"/>
    <w:pPr>
      <w:tabs>
        <w:tab w:val="left" w:pos="708"/>
      </w:tabs>
      <w:suppressAutoHyphens/>
      <w:spacing w:line="360" w:lineRule="auto"/>
    </w:pPr>
    <w:rPr>
      <w:rFonts w:ascii="Arial" w:eastAsia="MS Mincho" w:hAnsi="Arial" w:cs="Arial"/>
      <w:color w:val="00000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1A4"/>
    <w:pPr>
      <w:tabs>
        <w:tab w:val="clear" w:pos="708"/>
      </w:tabs>
      <w:suppressAutoHyphens w:val="0"/>
      <w:spacing w:after="0" w:line="240" w:lineRule="auto"/>
    </w:pPr>
    <w:rPr>
      <w:rFonts w:ascii="Tahoma" w:eastAsiaTheme="minorEastAsia" w:hAnsi="Tahoma" w:cs="Tahoma"/>
      <w:color w:val="auto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71A4"/>
    <w:pPr>
      <w:tabs>
        <w:tab w:val="left" w:pos="708"/>
      </w:tabs>
      <w:suppressAutoHyphens/>
      <w:spacing w:line="360" w:lineRule="auto"/>
    </w:pPr>
    <w:rPr>
      <w:rFonts w:ascii="Arial" w:eastAsia="MS Mincho" w:hAnsi="Arial" w:cs="Arial"/>
      <w:color w:val="00000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1A4"/>
    <w:pPr>
      <w:tabs>
        <w:tab w:val="clear" w:pos="708"/>
      </w:tabs>
      <w:suppressAutoHyphens w:val="0"/>
      <w:spacing w:after="0" w:line="240" w:lineRule="auto"/>
    </w:pPr>
    <w:rPr>
      <w:rFonts w:ascii="Tahoma" w:eastAsiaTheme="minorEastAsia" w:hAnsi="Tahoma" w:cs="Tahoma"/>
      <w:color w:val="auto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Gautheret</dc:creator>
  <cp:keywords/>
  <dc:description/>
  <cp:lastModifiedBy>Gautheret</cp:lastModifiedBy>
  <cp:revision>4</cp:revision>
  <dcterms:created xsi:type="dcterms:W3CDTF">2015-10-09T09:56:00Z</dcterms:created>
  <dcterms:modified xsi:type="dcterms:W3CDTF">2015-10-09T12:57:00Z</dcterms:modified>
</cp:coreProperties>
</file>