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D2314" w14:textId="77777777" w:rsidR="0091140B" w:rsidRPr="0091140B" w:rsidRDefault="0091140B" w:rsidP="0091140B">
      <w:pPr>
        <w:pStyle w:val="normal0"/>
        <w:spacing w:line="360" w:lineRule="auto"/>
        <w:jc w:val="both"/>
        <w:rPr>
          <w:b/>
          <w:color w:val="000000" w:themeColor="text1"/>
          <w:lang w:val="en-US"/>
        </w:rPr>
      </w:pPr>
      <w:r w:rsidRPr="0091140B">
        <w:rPr>
          <w:b/>
          <w:color w:val="000000" w:themeColor="text1"/>
          <w:lang w:val="en-US"/>
        </w:rPr>
        <w:t>Text S1</w:t>
      </w:r>
      <w:r>
        <w:rPr>
          <w:b/>
          <w:color w:val="000000" w:themeColor="text1"/>
          <w:lang w:val="en-US"/>
        </w:rPr>
        <w:t xml:space="preserve">. </w:t>
      </w:r>
      <w:r w:rsidRPr="0091140B">
        <w:rPr>
          <w:b/>
          <w:color w:val="auto"/>
          <w:lang w:val="en-US"/>
        </w:rPr>
        <w:t>References in Supplementary Information legends</w:t>
      </w:r>
      <w:r>
        <w:rPr>
          <w:b/>
          <w:color w:val="auto"/>
          <w:lang w:val="en-US"/>
        </w:rPr>
        <w:t>.</w:t>
      </w:r>
    </w:p>
    <w:p w14:paraId="0A276DF1" w14:textId="77777777" w:rsidR="0091140B" w:rsidRPr="0091140B" w:rsidRDefault="0091140B" w:rsidP="0091140B">
      <w:pPr>
        <w:spacing w:line="360" w:lineRule="auto"/>
        <w:jc w:val="both"/>
        <w:rPr>
          <w:rFonts w:ascii="Arial" w:hAnsi="Arial" w:cs="Arial"/>
          <w:lang w:val="en-US"/>
        </w:rPr>
      </w:pPr>
    </w:p>
    <w:p w14:paraId="25B16874" w14:textId="77777777" w:rsidR="0091140B" w:rsidRPr="0091140B" w:rsidRDefault="0091140B" w:rsidP="0091140B">
      <w:pPr>
        <w:pStyle w:val="EndNoteBibliography"/>
        <w:spacing w:after="0" w:line="360" w:lineRule="auto"/>
        <w:ind w:left="720" w:hanging="720"/>
        <w:rPr>
          <w:noProof/>
        </w:rPr>
      </w:pPr>
      <w:r w:rsidRPr="0091140B">
        <w:fldChar w:fldCharType="begin"/>
      </w:r>
      <w:r w:rsidRPr="0091140B">
        <w:rPr>
          <w:lang w:val="en-US"/>
        </w:rPr>
        <w:instrText xml:space="preserve"> ADDIN EN.REFLIST </w:instrText>
      </w:r>
      <w:r w:rsidRPr="0091140B">
        <w:fldChar w:fldCharType="separate"/>
      </w:r>
      <w:r w:rsidRPr="0091140B">
        <w:rPr>
          <w:noProof/>
        </w:rPr>
        <w:t>1. Randall JC, Winkler TW, Kutalik Z, Berndt SI, Jackson AU, et al. (2013) Sex-stratified genome-wide association studies including 270,000 individuals show sexual dimorphism in genetic loci for anthropometric traits. PLoS Genet 9: e1003500.</w:t>
      </w:r>
    </w:p>
    <w:p w14:paraId="220102EF" w14:textId="77777777" w:rsidR="0091140B" w:rsidRPr="0091140B" w:rsidRDefault="0091140B" w:rsidP="0091140B">
      <w:pPr>
        <w:pStyle w:val="EndNoteBibliography"/>
        <w:spacing w:after="0" w:line="360" w:lineRule="auto"/>
        <w:ind w:left="720" w:hanging="720"/>
        <w:rPr>
          <w:noProof/>
        </w:rPr>
      </w:pPr>
      <w:r w:rsidRPr="0091140B">
        <w:rPr>
          <w:noProof/>
        </w:rPr>
        <w:t>2. Lappalainen T, Sammeth M, Friedlander MR, t Hoen PA, Monlong J, et al. (2013) Transcriptome and genome sequencing uncovers functional variation in humans. Nature 501: 506-511.</w:t>
      </w:r>
    </w:p>
    <w:p w14:paraId="1BDA47AB" w14:textId="77777777" w:rsidR="0091140B" w:rsidRPr="0091140B" w:rsidRDefault="0091140B" w:rsidP="0091140B">
      <w:pPr>
        <w:pStyle w:val="EndNoteBibliography"/>
        <w:spacing w:after="0" w:line="360" w:lineRule="auto"/>
        <w:ind w:left="720" w:hanging="720"/>
        <w:rPr>
          <w:noProof/>
        </w:rPr>
      </w:pPr>
      <w:r w:rsidRPr="0091140B">
        <w:rPr>
          <w:noProof/>
        </w:rPr>
        <w:t>3. MacArthur DG, Balasubramanian S, Frankish A, Huang N, Morris J, et al. (2012) A systematic survey of loss-of-function variants in human protein-coding genes. Science 335: 823-828.</w:t>
      </w:r>
    </w:p>
    <w:p w14:paraId="1FFC317B" w14:textId="77777777" w:rsidR="0091140B" w:rsidRPr="0091140B" w:rsidRDefault="0091140B" w:rsidP="0091140B">
      <w:pPr>
        <w:pStyle w:val="EndNoteBibliography"/>
        <w:spacing w:after="0" w:line="360" w:lineRule="auto"/>
        <w:ind w:left="720" w:hanging="720"/>
        <w:rPr>
          <w:noProof/>
        </w:rPr>
      </w:pPr>
      <w:r w:rsidRPr="0091140B">
        <w:rPr>
          <w:noProof/>
        </w:rPr>
        <w:t>4. Petrovski S, Wang Q, Heinzen EL, Allen AS, Goldstein DB (2013) Genic intolerance to functional variation and the interpretation of personal genomes. PLoS Genet 9: e1003709.</w:t>
      </w:r>
    </w:p>
    <w:p w14:paraId="290304AA" w14:textId="77777777" w:rsidR="0091140B" w:rsidRPr="0091140B" w:rsidRDefault="0091140B" w:rsidP="0091140B">
      <w:pPr>
        <w:pStyle w:val="EndNoteBibliography"/>
        <w:spacing w:after="0" w:line="360" w:lineRule="auto"/>
        <w:ind w:left="720" w:hanging="720"/>
        <w:rPr>
          <w:noProof/>
        </w:rPr>
      </w:pPr>
      <w:r w:rsidRPr="0091140B">
        <w:rPr>
          <w:noProof/>
        </w:rPr>
        <w:t>5. Pruitt KD, Harrow J, Harte RA, Wallin C, Diekhans M, et al. (2009) The consensus coding sequence (CCDS) project: Identifying a common protein-coding gene set for the human and mouse genomes. Genome Res 19: 1316-1323.</w:t>
      </w:r>
    </w:p>
    <w:p w14:paraId="73D6C472" w14:textId="77777777" w:rsidR="0091140B" w:rsidRPr="0091140B" w:rsidRDefault="0091140B" w:rsidP="0091140B">
      <w:pPr>
        <w:pStyle w:val="EndNoteBibliography"/>
        <w:spacing w:after="0" w:line="360" w:lineRule="auto"/>
        <w:ind w:left="720" w:hanging="720"/>
        <w:rPr>
          <w:noProof/>
        </w:rPr>
      </w:pPr>
      <w:r w:rsidRPr="0091140B">
        <w:rPr>
          <w:noProof/>
        </w:rPr>
        <w:t>6. Rodriguez JM, Maietta P, Ezkurdia I, Pietrelli A, Wesselink JJ, et al. (2013) APPRIS: annotation of principal and alternative splice isoforms. Nucleic Acids Res 41: D110-117.</w:t>
      </w:r>
    </w:p>
    <w:p w14:paraId="113B4FB0" w14:textId="77777777" w:rsidR="0091140B" w:rsidRPr="0091140B" w:rsidRDefault="0091140B" w:rsidP="0091140B">
      <w:pPr>
        <w:pStyle w:val="EndNoteBibliography"/>
        <w:spacing w:after="0" w:line="360" w:lineRule="auto"/>
        <w:ind w:left="720" w:hanging="720"/>
        <w:rPr>
          <w:noProof/>
        </w:rPr>
      </w:pPr>
      <w:r w:rsidRPr="0091140B">
        <w:rPr>
          <w:noProof/>
        </w:rPr>
        <w:t>7. UniProt C (2013) Update on activities at the Universal Protein Resource (UniProt) in 2013. Nucleic Acids Res 41: D43-47.</w:t>
      </w:r>
    </w:p>
    <w:p w14:paraId="2B6CD999" w14:textId="77777777" w:rsidR="0091140B" w:rsidRPr="0091140B" w:rsidRDefault="0091140B" w:rsidP="0091140B">
      <w:pPr>
        <w:pStyle w:val="EndNoteBibliography"/>
        <w:spacing w:after="0" w:line="360" w:lineRule="auto"/>
        <w:ind w:left="720" w:hanging="720"/>
        <w:rPr>
          <w:noProof/>
        </w:rPr>
      </w:pPr>
      <w:r w:rsidRPr="0091140B">
        <w:rPr>
          <w:noProof/>
        </w:rPr>
        <w:t>8. Hunter S, Jones P, Mitchell A, Apweiler R, Attwood TK, et al. (2012) InterPro in 2011: new developments in the family and domain prediction database. Nucleic Acids Res 40: D306-312.</w:t>
      </w:r>
    </w:p>
    <w:p w14:paraId="09E48113" w14:textId="77777777" w:rsidR="0091140B" w:rsidRPr="0091140B" w:rsidRDefault="0091140B" w:rsidP="0091140B">
      <w:pPr>
        <w:pStyle w:val="EndNoteBibliography"/>
        <w:spacing w:after="0" w:line="360" w:lineRule="auto"/>
        <w:ind w:left="720" w:hanging="720"/>
        <w:rPr>
          <w:noProof/>
        </w:rPr>
      </w:pPr>
      <w:r w:rsidRPr="0091140B">
        <w:rPr>
          <w:noProof/>
        </w:rPr>
        <w:t>9. Schoggins JW, Wilson SJ, Panis M, Murphy MY, Jones CT, et al. (2011) A diverse range of gene products are effectors of the type I interferon antiviral response. Nature 472: 481-485.</w:t>
      </w:r>
    </w:p>
    <w:p w14:paraId="1E387C1D" w14:textId="77777777" w:rsidR="0091140B" w:rsidRPr="0091140B" w:rsidRDefault="0091140B" w:rsidP="0091140B">
      <w:pPr>
        <w:pStyle w:val="EndNoteBibliography"/>
        <w:spacing w:line="360" w:lineRule="auto"/>
        <w:ind w:left="720" w:hanging="720"/>
        <w:rPr>
          <w:noProof/>
        </w:rPr>
      </w:pPr>
      <w:r w:rsidRPr="0091140B">
        <w:rPr>
          <w:noProof/>
        </w:rPr>
        <w:t>10. Schoggins JW, Macduff DA, Imanaka N, Gainey MD, Shrestha B, et al. (2013) Pan-viral specificity of IFN-induced genes reveals new roles for cGAS in innate immunity. Nature.</w:t>
      </w:r>
    </w:p>
    <w:p w14:paraId="77FE1F93" w14:textId="77777777" w:rsidR="0091140B" w:rsidRPr="0091140B" w:rsidRDefault="0091140B" w:rsidP="0091140B">
      <w:pPr>
        <w:spacing w:line="360" w:lineRule="auto"/>
        <w:jc w:val="both"/>
        <w:rPr>
          <w:rFonts w:ascii="Arial" w:eastAsia="Arial" w:hAnsi="Arial" w:cs="Arial"/>
          <w:b/>
          <w:lang w:val="en-US"/>
        </w:rPr>
      </w:pPr>
      <w:r w:rsidRPr="0091140B">
        <w:rPr>
          <w:rFonts w:ascii="Arial" w:hAnsi="Arial" w:cs="Arial"/>
        </w:rPr>
        <w:fldChar w:fldCharType="end"/>
      </w:r>
      <w:bookmarkStart w:id="0" w:name="_GoBack"/>
    </w:p>
    <w:bookmarkEnd w:id="0"/>
    <w:sectPr w:rsidR="0091140B" w:rsidRPr="0091140B" w:rsidSect="00BA7DB9">
      <w:headerReference w:type="default" r:id="rId5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72847"/>
      <w:docPartObj>
        <w:docPartGallery w:val="Page Numbers (Top of Page)"/>
        <w:docPartUnique/>
      </w:docPartObj>
    </w:sdtPr>
    <w:sdtEndPr/>
    <w:sdtContent>
      <w:p w14:paraId="6B0E4FB3" w14:textId="77777777" w:rsidR="003102A4" w:rsidRDefault="0055041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0B"/>
    <w:rsid w:val="00550411"/>
    <w:rsid w:val="006A7522"/>
    <w:rsid w:val="0091140B"/>
    <w:rsid w:val="00E7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2F83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0B"/>
    <w:pPr>
      <w:spacing w:after="200" w:line="276" w:lineRule="auto"/>
    </w:pPr>
    <w:rPr>
      <w:sz w:val="22"/>
      <w:szCs w:val="22"/>
      <w:lang w:val="fr-CH" w:eastAsia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1140B"/>
    <w:pPr>
      <w:spacing w:line="276" w:lineRule="auto"/>
    </w:pPr>
    <w:rPr>
      <w:rFonts w:ascii="Arial" w:eastAsia="Arial" w:hAnsi="Arial" w:cs="Arial"/>
      <w:color w:val="000000"/>
      <w:sz w:val="22"/>
      <w:szCs w:val="22"/>
      <w:lang w:val="fr-CH" w:eastAsia="fr-CH"/>
    </w:rPr>
  </w:style>
  <w:style w:type="paragraph" w:styleId="Header">
    <w:name w:val="header"/>
    <w:basedOn w:val="Normal"/>
    <w:link w:val="HeaderChar"/>
    <w:uiPriority w:val="99"/>
    <w:unhideWhenUsed/>
    <w:rsid w:val="0091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40B"/>
    <w:rPr>
      <w:sz w:val="22"/>
      <w:szCs w:val="22"/>
      <w:lang w:val="fr-CH" w:eastAsia="fr-CH"/>
    </w:rPr>
  </w:style>
  <w:style w:type="paragraph" w:customStyle="1" w:styleId="EndNoteBibliography">
    <w:name w:val="EndNote Bibliography"/>
    <w:basedOn w:val="Normal"/>
    <w:rsid w:val="0091140B"/>
    <w:pPr>
      <w:spacing w:line="240" w:lineRule="auto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0B"/>
    <w:pPr>
      <w:spacing w:after="200" w:line="276" w:lineRule="auto"/>
    </w:pPr>
    <w:rPr>
      <w:sz w:val="22"/>
      <w:szCs w:val="22"/>
      <w:lang w:val="fr-CH" w:eastAsia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1140B"/>
    <w:pPr>
      <w:spacing w:line="276" w:lineRule="auto"/>
    </w:pPr>
    <w:rPr>
      <w:rFonts w:ascii="Arial" w:eastAsia="Arial" w:hAnsi="Arial" w:cs="Arial"/>
      <w:color w:val="000000"/>
      <w:sz w:val="22"/>
      <w:szCs w:val="22"/>
      <w:lang w:val="fr-CH" w:eastAsia="fr-CH"/>
    </w:rPr>
  </w:style>
  <w:style w:type="paragraph" w:styleId="Header">
    <w:name w:val="header"/>
    <w:basedOn w:val="Normal"/>
    <w:link w:val="HeaderChar"/>
    <w:uiPriority w:val="99"/>
    <w:unhideWhenUsed/>
    <w:rsid w:val="0091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40B"/>
    <w:rPr>
      <w:sz w:val="22"/>
      <w:szCs w:val="22"/>
      <w:lang w:val="fr-CH" w:eastAsia="fr-CH"/>
    </w:rPr>
  </w:style>
  <w:style w:type="paragraph" w:customStyle="1" w:styleId="EndNoteBibliography">
    <w:name w:val="EndNote Bibliography"/>
    <w:basedOn w:val="Normal"/>
    <w:rsid w:val="0091140B"/>
    <w:pPr>
      <w:spacing w:line="24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1642</Characters>
  <Application>Microsoft Macintosh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Rausell</dc:creator>
  <cp:keywords/>
  <dc:description/>
  <cp:lastModifiedBy>Antonio Rausell</cp:lastModifiedBy>
  <cp:revision>2</cp:revision>
  <dcterms:created xsi:type="dcterms:W3CDTF">2014-06-21T07:25:00Z</dcterms:created>
  <dcterms:modified xsi:type="dcterms:W3CDTF">2014-06-21T07:29:00Z</dcterms:modified>
</cp:coreProperties>
</file>