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3" w:rsidRPr="00003203" w:rsidRDefault="006525E9" w:rsidP="00003203">
      <w:pPr>
        <w:pStyle w:val="Heading1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Text S1</w:t>
      </w:r>
    </w:p>
    <w:p w:rsidR="00003203" w:rsidRPr="00003203" w:rsidRDefault="00AE295D" w:rsidP="00D65B80">
      <w:pPr>
        <w:pStyle w:val="Heading2"/>
      </w:pPr>
      <w:bookmarkStart w:id="1" w:name="_Toc352066909"/>
      <w:r>
        <w:t xml:space="preserve">  </w:t>
      </w:r>
      <w:r w:rsidR="00003203" w:rsidRPr="00003203">
        <w:t>Description of alternative models</w:t>
      </w:r>
      <w:bookmarkEnd w:id="1"/>
    </w:p>
    <w:p w:rsidR="00003203" w:rsidRPr="00003203" w:rsidRDefault="00003203" w:rsidP="00003203">
      <w:pPr>
        <w:ind w:firstLine="360"/>
      </w:pPr>
      <w:r w:rsidRPr="00003203">
        <w:t xml:space="preserve">Here we describe in detail </w:t>
      </w:r>
      <w:r w:rsidR="00E73F8F">
        <w:t xml:space="preserve">the </w:t>
      </w:r>
      <w:r w:rsidRPr="00003203">
        <w:t xml:space="preserve">two alternative models used in the validation exercise: the phenomenological </w:t>
      </w:r>
      <w:r w:rsidR="00C47524">
        <w:t xml:space="preserve">AR-1 </w:t>
      </w:r>
      <w:r w:rsidRPr="00003203">
        <w:t>state-space model and the mechanistic SIS model. Both of these models were fitted within a Bayesian framework using a Gibbs sampler, with Metropolis-within-Gibbs sampling steps for parameters for which we did not have closed form expressions for their full conditional distributions. Convergence was assessed by evaluating trace-plots of the parameters and states.</w:t>
      </w:r>
    </w:p>
    <w:p w:rsidR="00003203" w:rsidRDefault="00003203" w:rsidP="00003203">
      <w:pPr>
        <w:rPr>
          <w:rFonts w:ascii="Times New Roman" w:hAnsi="Times New Roman"/>
          <w:sz w:val="24"/>
        </w:rPr>
      </w:pPr>
    </w:p>
    <w:p w:rsidR="00003203" w:rsidRPr="00D65B80" w:rsidRDefault="00AE295D">
      <w:pPr>
        <w:pStyle w:val="Heading3"/>
        <w:rPr>
          <w:b w:val="0"/>
        </w:rPr>
      </w:pPr>
      <w:bookmarkStart w:id="2" w:name="_Toc352066910"/>
      <w:r w:rsidRPr="00D65B80">
        <w:rPr>
          <w:b w:val="0"/>
        </w:rPr>
        <w:t xml:space="preserve">- </w:t>
      </w:r>
      <w:r w:rsidR="00003203" w:rsidRPr="00D65B80">
        <w:rPr>
          <w:b w:val="0"/>
        </w:rPr>
        <w:t xml:space="preserve">Phenomenological </w:t>
      </w:r>
      <w:r w:rsidR="00AA5315" w:rsidRPr="00D65B80">
        <w:rPr>
          <w:b w:val="0"/>
        </w:rPr>
        <w:t xml:space="preserve">AR-1 </w:t>
      </w:r>
      <w:r w:rsidR="00003203" w:rsidRPr="00D65B80">
        <w:rPr>
          <w:b w:val="0"/>
        </w:rPr>
        <w:t>state-space model</w:t>
      </w:r>
      <w:bookmarkEnd w:id="2"/>
    </w:p>
    <w:p w:rsidR="00AA5315" w:rsidRDefault="00AA5315" w:rsidP="00AA5315">
      <w:pPr>
        <w:ind w:firstLine="720"/>
      </w:pPr>
      <w:r>
        <w:t>Autoregressive models are central to the analysis of time series data in the statistic</w:t>
      </w:r>
      <w:r w:rsidR="002227CC">
        <w:t>al</w:t>
      </w:r>
      <w:r>
        <w:t xml:space="preserve"> literature </w:t>
      </w:r>
      <w:r w:rsidR="00A66B8E">
        <w:fldChar w:fldCharType="begin"/>
      </w:r>
      <w:r w:rsidR="00757010">
        <w:instrText xml:space="preserve"> ADDIN EN.CITE &lt;EndNote&gt;&lt;Cite&gt;&lt;Author&gt;Prado&lt;/Author&gt;&lt;Year&gt;2010&lt;/Year&gt;&lt;RecNum&gt;9276&lt;/RecNum&gt;&lt;DisplayText&gt;[1]&lt;/DisplayText&gt;&lt;record&gt;&lt;rec-number&gt;9276&lt;/rec-number&gt;&lt;foreign-keys&gt;&lt;key app="EN" db-id="eepextde1av2psefsat5f9af5vfw2vr9fa29"&gt;9276&lt;/key&gt;&lt;/foreign-keys&gt;&lt;ref-type name="Book"&gt;6&lt;/ref-type&gt;&lt;contributors&gt;&lt;authors&gt;&lt;author&gt;Prado, R.&lt;/author&gt;&lt;author&gt;West, M.&lt;/author&gt;&lt;/authors&gt;&lt;/contributors&gt;&lt;titles&gt;&lt;title&gt;Time series: modeling, computation, and inference&lt;/title&gt;&lt;/titles&gt;&lt;dates&gt;&lt;year&gt;2010&lt;/year&gt;&lt;/dates&gt;&lt;publisher&gt;Chapman &amp;amp; Hall/CRC&lt;/publisher&gt;&lt;urls&gt;&lt;/urls&gt;&lt;/record&gt;&lt;/Cite&gt;&lt;/EndNote&gt;</w:instrText>
      </w:r>
      <w:r w:rsidR="00A66B8E">
        <w:fldChar w:fldCharType="separate"/>
      </w:r>
      <w:r w:rsidR="00757010">
        <w:rPr>
          <w:noProof/>
        </w:rPr>
        <w:t>[1]</w:t>
      </w:r>
      <w:r w:rsidR="00A66B8E">
        <w:fldChar w:fldCharType="end"/>
      </w:r>
      <w:r>
        <w:t>. Our phenomenological state-space model assumes</w:t>
      </w:r>
    </w:p>
    <w:p w:rsidR="00AA5315" w:rsidRDefault="00AA5315" w:rsidP="00AA5315">
      <w:r w:rsidRPr="00A57529">
        <w:rPr>
          <w:position w:val="-30"/>
        </w:rPr>
        <w:object w:dxaOrig="38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pt;height:33.7pt" o:ole="">
            <v:imagedata r:id="rId6" o:title=""/>
          </v:shape>
          <o:OLEObject Type="Embed" ProgID="Equation.DSMT4" ShapeID="_x0000_i1025" DrawAspect="Content" ObjectID="_1438596658" r:id="rId7"/>
        </w:object>
      </w:r>
      <w:r>
        <w:rPr>
          <w:position w:val="-14"/>
        </w:rPr>
        <w:t xml:space="preserve"> ,</w:t>
      </w:r>
      <w:r>
        <w:rPr>
          <w:position w:val="-14"/>
        </w:rPr>
        <w:tab/>
      </w:r>
      <w:r>
        <w:rPr>
          <w:position w:val="-14"/>
        </w:rPr>
        <w:tab/>
      </w:r>
      <w:r>
        <w:t>[observation model]</w:t>
      </w:r>
    </w:p>
    <w:p w:rsidR="00AA5315" w:rsidRDefault="00AA5315" w:rsidP="00AA5315">
      <w:proofErr w:type="gramStart"/>
      <w:r>
        <w:t>where</w:t>
      </w:r>
      <w:proofErr w:type="gramEnd"/>
      <w:r>
        <w:t xml:space="preserve"> </w:t>
      </w:r>
      <w:r w:rsidRPr="00A57529">
        <w:rPr>
          <w:position w:val="-12"/>
        </w:rPr>
        <w:object w:dxaOrig="279" w:dyaOrig="360">
          <v:shape id="_x0000_i1026" type="#_x0000_t75" style="width:14.5pt;height:18.6pt" o:ole="">
            <v:imagedata r:id="rId8" o:title=""/>
          </v:shape>
          <o:OLEObject Type="Embed" ProgID="Equation.DSMT4" ShapeID="_x0000_i1026" DrawAspect="Content" ObjectID="_1438596659" r:id="rId9"/>
        </w:object>
      </w:r>
      <w:r>
        <w:t>is the latent state. We then assume that these latent states follow an AR-1 process</w:t>
      </w:r>
    </w:p>
    <w:p w:rsidR="00AA5315" w:rsidRDefault="00AA5315" w:rsidP="00AA5315">
      <w:r w:rsidRPr="00846176">
        <w:rPr>
          <w:position w:val="-28"/>
        </w:rPr>
        <w:object w:dxaOrig="4459" w:dyaOrig="700">
          <v:shape id="_x0000_i1027" type="#_x0000_t75" style="width:222.95pt;height:34.85pt" o:ole="">
            <v:imagedata r:id="rId10" o:title=""/>
          </v:shape>
          <o:OLEObject Type="Embed" ProgID="Equation.DSMT4" ShapeID="_x0000_i1027" DrawAspect="Content" ObjectID="_1438596660" r:id="rId11"/>
        </w:object>
      </w:r>
      <w:r>
        <w:t xml:space="preserve"> ,</w:t>
      </w:r>
      <w:r>
        <w:tab/>
        <w:t>[process model]</w:t>
      </w:r>
    </w:p>
    <w:p w:rsidR="00003203" w:rsidRDefault="00AA5315" w:rsidP="00003203">
      <w:proofErr w:type="gramStart"/>
      <w:r>
        <w:t>where</w:t>
      </w:r>
      <w:proofErr w:type="gramEnd"/>
      <w:r>
        <w:t xml:space="preserve"> the correlation matrix is given by </w:t>
      </w:r>
      <w:r w:rsidRPr="00846176">
        <w:rPr>
          <w:position w:val="-68"/>
        </w:rPr>
        <w:object w:dxaOrig="2500" w:dyaOrig="1480">
          <v:shape id="_x0000_i1028" type="#_x0000_t75" style="width:124.85pt;height:73.75pt" o:ole="">
            <v:imagedata r:id="rId12" o:title=""/>
          </v:shape>
          <o:OLEObject Type="Embed" ProgID="Equation.DSMT4" ShapeID="_x0000_i1028" DrawAspect="Content" ObjectID="_1438596661" r:id="rId13"/>
        </w:object>
      </w:r>
      <w:r>
        <w:t xml:space="preserve">. Each row of the design matrix </w:t>
      </w:r>
      <w:r w:rsidRPr="00C84960">
        <w:rPr>
          <w:position w:val="-12"/>
        </w:rPr>
        <w:object w:dxaOrig="520" w:dyaOrig="360">
          <v:shape id="_x0000_i1029" type="#_x0000_t75" style="width:26.7pt;height:18.6pt" o:ole="">
            <v:imagedata r:id="rId14" o:title=""/>
          </v:shape>
          <o:OLEObject Type="Embed" ProgID="Equation.DSMT4" ShapeID="_x0000_i1029" DrawAspect="Content" ObjectID="_1438596662" r:id="rId15"/>
        </w:object>
      </w:r>
      <w:r>
        <w:t xml:space="preserve"> is filled with six zeroes and a one in the column that corresponds to the year of the latent state </w:t>
      </w:r>
      <w:r w:rsidRPr="00A57529">
        <w:rPr>
          <w:position w:val="-12"/>
        </w:rPr>
        <w:object w:dxaOrig="279" w:dyaOrig="360">
          <v:shape id="_x0000_i1030" type="#_x0000_t75" style="width:14.5pt;height:18.6pt" o:ole="">
            <v:imagedata r:id="rId8" o:title=""/>
          </v:shape>
          <o:OLEObject Type="Embed" ProgID="Equation.DSMT4" ShapeID="_x0000_i1030" DrawAspect="Content" ObjectID="_1438596663" r:id="rId16"/>
        </w:object>
      </w:r>
      <w:r>
        <w:t xml:space="preserve"> (e.g., a latent state in year 3 has a one in column 3), and </w:t>
      </w:r>
      <w:r w:rsidRPr="00B21A45">
        <w:rPr>
          <w:position w:val="-12"/>
        </w:rPr>
        <w:object w:dxaOrig="420" w:dyaOrig="360">
          <v:shape id="_x0000_i1031" type="#_x0000_t75" style="width:21.5pt;height:18.6pt" o:ole="">
            <v:imagedata r:id="rId17" o:title=""/>
          </v:shape>
          <o:OLEObject Type="Embed" ProgID="Equation.DSMT4" ShapeID="_x0000_i1031" DrawAspect="Content" ObjectID="_1438596664" r:id="rId18"/>
        </w:object>
      </w:r>
      <w:r>
        <w:t xml:space="preserve"> is a vector containing yearly </w:t>
      </w:r>
      <w:proofErr w:type="gramStart"/>
      <w:r>
        <w:t xml:space="preserve">parameters </w:t>
      </w:r>
      <w:proofErr w:type="gramEnd"/>
      <w:r w:rsidRPr="00B21A45">
        <w:rPr>
          <w:position w:val="-12"/>
        </w:rPr>
        <w:object w:dxaOrig="1460" w:dyaOrig="380">
          <v:shape id="_x0000_i1032" type="#_x0000_t75" style="width:73.15pt;height:19.75pt" o:ole="">
            <v:imagedata r:id="rId19" o:title=""/>
          </v:shape>
          <o:OLEObject Type="Embed" ProgID="Equation.DSMT4" ShapeID="_x0000_i1032" DrawAspect="Content" ObjectID="_1438596665" r:id="rId20"/>
        </w:object>
      </w:r>
      <w:r>
        <w:t xml:space="preserve">. </w:t>
      </w:r>
      <w:r w:rsidR="00003203" w:rsidRPr="006068C1">
        <w:t>We adopted vague priors</w:t>
      </w:r>
      <w:r w:rsidR="00003203">
        <w:t xml:space="preserve"> for all parameters</w:t>
      </w:r>
      <w:r w:rsidR="00003203" w:rsidRPr="006068C1">
        <w:t xml:space="preserve">, namely </w:t>
      </w:r>
    </w:p>
    <w:p w:rsidR="00003203" w:rsidRDefault="00003203" w:rsidP="00003203">
      <w:pPr>
        <w:ind w:firstLine="720"/>
      </w:pPr>
      <w:r w:rsidRPr="001C0F30">
        <w:rPr>
          <w:position w:val="-12"/>
        </w:rPr>
        <w:object w:dxaOrig="1980" w:dyaOrig="360">
          <v:shape id="_x0000_i1033" type="#_x0000_t75" style="width:98.7pt;height:18.6pt" o:ole="">
            <v:imagedata r:id="rId21" o:title=""/>
          </v:shape>
          <o:OLEObject Type="Embed" ProgID="Equation.DSMT4" ShapeID="_x0000_i1033" DrawAspect="Content" ObjectID="_1438596666" r:id="rId22"/>
        </w:object>
      </w:r>
      <w:r w:rsidRPr="006068C1">
        <w:t xml:space="preserve">, </w:t>
      </w:r>
    </w:p>
    <w:p w:rsidR="00003203" w:rsidRDefault="00003203" w:rsidP="00003203">
      <w:pPr>
        <w:ind w:firstLine="720"/>
      </w:pPr>
      <w:r w:rsidRPr="006068C1">
        <w:rPr>
          <w:position w:val="-10"/>
        </w:rPr>
        <w:object w:dxaOrig="1600" w:dyaOrig="320">
          <v:shape id="_x0000_i1034" type="#_x0000_t75" style="width:80.15pt;height:16.25pt" o:ole="">
            <v:imagedata r:id="rId23" o:title=""/>
          </v:shape>
          <o:OLEObject Type="Embed" ProgID="Equation.DSMT4" ShapeID="_x0000_i1034" DrawAspect="Content" ObjectID="_1438596667" r:id="rId24"/>
        </w:object>
      </w:r>
      <w:r w:rsidRPr="006068C1">
        <w:t xml:space="preserve">, </w:t>
      </w:r>
    </w:p>
    <w:p w:rsidR="00003203" w:rsidRDefault="00003203" w:rsidP="00003203">
      <w:pPr>
        <w:ind w:firstLine="720"/>
      </w:pPr>
      <w:r w:rsidRPr="006068C1">
        <w:rPr>
          <w:position w:val="-10"/>
        </w:rPr>
        <w:object w:dxaOrig="1380" w:dyaOrig="320">
          <v:shape id="_x0000_i1035" type="#_x0000_t75" style="width:68.5pt;height:16.25pt" o:ole="">
            <v:imagedata r:id="rId25" o:title=""/>
          </v:shape>
          <o:OLEObject Type="Embed" ProgID="Equation.DSMT4" ShapeID="_x0000_i1035" DrawAspect="Content" ObjectID="_1438596668" r:id="rId26"/>
        </w:object>
      </w:r>
      <w:r w:rsidRPr="006068C1">
        <w:t xml:space="preserve">. </w:t>
      </w:r>
    </w:p>
    <w:p w:rsidR="00003203" w:rsidRPr="006068C1" w:rsidRDefault="00003203" w:rsidP="00003203">
      <w:pPr>
        <w:ind w:firstLine="720"/>
      </w:pPr>
      <w:r>
        <w:lastRenderedPageBreak/>
        <w:t>Under this specification, w</w:t>
      </w:r>
      <w:r w:rsidRPr="006068C1">
        <w:t xml:space="preserve">e were able to obtain closed form expression for the </w:t>
      </w:r>
      <w:r w:rsidR="003D0B81">
        <w:t xml:space="preserve">full conditional </w:t>
      </w:r>
      <w:r w:rsidRPr="006068C1">
        <w:t xml:space="preserve">distributions of the annual parameters </w:t>
      </w:r>
      <w:r w:rsidRPr="00F95285">
        <w:rPr>
          <w:position w:val="-10"/>
        </w:rPr>
        <w:object w:dxaOrig="200" w:dyaOrig="260">
          <v:shape id="_x0000_i1036" type="#_x0000_t75" style="width:10.45pt;height:12.75pt" o:ole="">
            <v:imagedata r:id="rId27" o:title=""/>
          </v:shape>
          <o:OLEObject Type="Embed" ProgID="Equation.DSMT4" ShapeID="_x0000_i1036" DrawAspect="Content" ObjectID="_1438596669" r:id="rId28"/>
        </w:object>
      </w:r>
      <w:r w:rsidRPr="006068C1">
        <w:rPr>
          <w:position w:val="-14"/>
        </w:rPr>
        <w:t xml:space="preserve"> </w:t>
      </w:r>
      <w:r w:rsidRPr="006068C1">
        <w:t xml:space="preserve">and the process </w:t>
      </w:r>
      <w:proofErr w:type="gramStart"/>
      <w:r w:rsidRPr="006068C1">
        <w:t xml:space="preserve">precision </w:t>
      </w:r>
      <w:proofErr w:type="gramEnd"/>
      <w:r w:rsidRPr="006068C1">
        <w:rPr>
          <w:position w:val="-6"/>
        </w:rPr>
        <w:object w:dxaOrig="499" w:dyaOrig="320">
          <v:shape id="_x0000_i1037" type="#_x0000_t75" style="width:24.95pt;height:16.25pt" o:ole="">
            <v:imagedata r:id="rId29" o:title=""/>
          </v:shape>
          <o:OLEObject Type="Embed" ProgID="Equation.DSMT4" ShapeID="_x0000_i1037" DrawAspect="Content" ObjectID="_1438596670" r:id="rId30"/>
        </w:object>
      </w:r>
      <w:r>
        <w:t xml:space="preserve">. For the remaining parameter </w:t>
      </w:r>
      <w:r w:rsidRPr="006068C1">
        <w:rPr>
          <w:position w:val="-10"/>
        </w:rPr>
        <w:object w:dxaOrig="240" w:dyaOrig="260">
          <v:shape id="_x0000_i1038" type="#_x0000_t75" style="width:12.2pt;height:12.75pt" o:ole="">
            <v:imagedata r:id="rId31" o:title=""/>
          </v:shape>
          <o:OLEObject Type="Embed" ProgID="Equation.DSMT4" ShapeID="_x0000_i1038" DrawAspect="Content" ObjectID="_1438596671" r:id="rId32"/>
        </w:object>
      </w:r>
      <w:r>
        <w:t>and latent states (</w:t>
      </w:r>
      <w:r w:rsidRPr="003F6904">
        <w:rPr>
          <w:position w:val="-12"/>
        </w:rPr>
        <w:object w:dxaOrig="279" w:dyaOrig="360">
          <v:shape id="_x0000_i1039" type="#_x0000_t75" style="width:14.5pt;height:18.6pt" o:ole="">
            <v:imagedata r:id="rId33" o:title=""/>
          </v:shape>
          <o:OLEObject Type="Embed" ProgID="Equation.DSMT4" ShapeID="_x0000_i1039" DrawAspect="Content" ObjectID="_1438596672" r:id="rId34"/>
        </w:object>
      </w:r>
      <w:r>
        <w:t>), we e</w:t>
      </w:r>
      <w:r w:rsidRPr="006068C1">
        <w:t xml:space="preserve">mploy a Metropolis-within-Gibbs </w:t>
      </w:r>
      <w:r>
        <w:t xml:space="preserve">sampling </w:t>
      </w:r>
      <w:r w:rsidRPr="006068C1">
        <w:t>steps.</w:t>
      </w:r>
    </w:p>
    <w:p w:rsidR="00003203" w:rsidRDefault="00003203" w:rsidP="00003203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03203" w:rsidRPr="00D65B80" w:rsidRDefault="00AE295D">
      <w:pPr>
        <w:pStyle w:val="Heading3"/>
        <w:rPr>
          <w:b w:val="0"/>
        </w:rPr>
      </w:pPr>
      <w:bookmarkStart w:id="3" w:name="_Toc352066911"/>
      <w:r w:rsidRPr="00D65B80">
        <w:rPr>
          <w:b w:val="0"/>
        </w:rPr>
        <w:t xml:space="preserve">- </w:t>
      </w:r>
      <w:r w:rsidR="00AA5315" w:rsidRPr="00D65B80">
        <w:rPr>
          <w:b w:val="0"/>
        </w:rPr>
        <w:t xml:space="preserve">Mechanistic </w:t>
      </w:r>
      <w:r w:rsidR="00003203" w:rsidRPr="00D65B80">
        <w:rPr>
          <w:b w:val="0"/>
        </w:rPr>
        <w:t>SIS disease dynamics model</w:t>
      </w:r>
      <w:bookmarkEnd w:id="3"/>
    </w:p>
    <w:p w:rsidR="00AA5315" w:rsidRDefault="00AA5315" w:rsidP="00AA5315">
      <w:pPr>
        <w:ind w:firstLine="720"/>
      </w:pPr>
      <w:r>
        <w:t xml:space="preserve">Disease-dynamics compartment models are extensively used to model disease time series in the mathematical biology literature </w:t>
      </w:r>
      <w:r w:rsidR="00A66B8E">
        <w:fldChar w:fldCharType="begin"/>
      </w:r>
      <w:r w:rsidR="00757010">
        <w:instrText xml:space="preserve"> ADDIN EN.CITE &lt;EndNote&gt;&lt;Cite&gt;&lt;Author&gt;Keeling&lt;/Author&gt;&lt;Year&gt;2008&lt;/Year&gt;&lt;RecNum&gt;8739&lt;/RecNum&gt;&lt;DisplayText&gt;[2]&lt;/DisplayText&gt;&lt;record&gt;&lt;rec-number&gt;8739&lt;/rec-number&gt;&lt;foreign-keys&gt;&lt;key app="EN" db-id="eepextde1av2psefsat5f9af5vfw2vr9fa29"&gt;8739&lt;/key&gt;&lt;/foreign-keys&gt;&lt;ref-type name="Book"&gt;6&lt;/ref-type&gt;&lt;contributors&gt;&lt;authors&gt;&lt;author&gt;Keeling, M. J.&lt;/author&gt;&lt;author&gt;Rohani, P.&lt;/author&gt;&lt;/authors&gt;&lt;/contributors&gt;&lt;titles&gt;&lt;title&gt;Modeling infectious diseases in humans and animals&lt;/title&gt;&lt;/titles&gt;&lt;dates&gt;&lt;year&gt;2008&lt;/year&gt;&lt;/dates&gt;&lt;pub-location&gt;Princeton, New Jersey&lt;/pub-location&gt;&lt;publisher&gt;Princeton University Press.&lt;/publisher&gt;&lt;urls&gt;&lt;/urls&gt;&lt;/record&gt;&lt;/Cite&gt;&lt;/EndNote&gt;</w:instrText>
      </w:r>
      <w:r w:rsidR="00A66B8E">
        <w:fldChar w:fldCharType="separate"/>
      </w:r>
      <w:r w:rsidR="00757010">
        <w:rPr>
          <w:noProof/>
        </w:rPr>
        <w:t>[2]</w:t>
      </w:r>
      <w:r w:rsidR="00A66B8E">
        <w:fldChar w:fldCharType="end"/>
      </w:r>
      <w:r>
        <w:t xml:space="preserve">. One of the simplest disease dynamics model is the Susceptible-Infectious-Susceptible (SIS) model but this model can be easily made more complex by explicitly representing an exposed state, the vector dynamics, and/or different </w:t>
      </w:r>
      <w:r w:rsidRPr="009E6416">
        <w:rPr>
          <w:i/>
        </w:rPr>
        <w:t>Plasmodium</w:t>
      </w:r>
      <w:r>
        <w:t xml:space="preserve"> species. Here we keep our model simple because problems of parameter </w:t>
      </w:r>
      <w:proofErr w:type="spellStart"/>
      <w:r>
        <w:t>identifiability</w:t>
      </w:r>
      <w:proofErr w:type="spellEnd"/>
      <w:r>
        <w:t xml:space="preserve"> are already evident even in this simple model. Our SIS model assumes that the observed disease incidence arises from a negative binomial distribution with </w:t>
      </w:r>
      <w:proofErr w:type="gramStart"/>
      <w:r>
        <w:t xml:space="preserve">mean </w:t>
      </w:r>
      <w:proofErr w:type="gramEnd"/>
      <w:r w:rsidRPr="00417993">
        <w:rPr>
          <w:position w:val="-12"/>
        </w:rPr>
        <w:object w:dxaOrig="320" w:dyaOrig="360">
          <v:shape id="_x0000_i1040" type="#_x0000_t75" style="width:16.85pt;height:18.6pt" o:ole="">
            <v:imagedata r:id="rId35" o:title=""/>
          </v:shape>
          <o:OLEObject Type="Embed" ProgID="Equation.DSMT4" ShapeID="_x0000_i1040" DrawAspect="Content" ObjectID="_1438596673" r:id="rId36"/>
        </w:object>
      </w:r>
      <w:r>
        <w:t>:</w:t>
      </w:r>
    </w:p>
    <w:p w:rsidR="00AA5315" w:rsidRDefault="00AA5315" w:rsidP="00AA5315">
      <w:r w:rsidRPr="007C57AB">
        <w:rPr>
          <w:position w:val="-32"/>
        </w:rPr>
        <w:object w:dxaOrig="4140" w:dyaOrig="760">
          <v:shape id="_x0000_i1041" type="#_x0000_t75" style="width:207.3pt;height:37.75pt" o:ole="">
            <v:imagedata r:id="rId37" o:title=""/>
          </v:shape>
          <o:OLEObject Type="Embed" ProgID="Equation.DSMT4" ShapeID="_x0000_i1041" DrawAspect="Content" ObjectID="_1438596674" r:id="rId38"/>
        </w:object>
      </w:r>
      <w:r>
        <w:t xml:space="preserve">, </w:t>
      </w:r>
      <w:r>
        <w:tab/>
      </w:r>
      <w:r>
        <w:tab/>
        <w:t>[likelihood]</w:t>
      </w:r>
    </w:p>
    <w:p w:rsidR="00AA5315" w:rsidRDefault="00AA5315" w:rsidP="00AA5315">
      <w:proofErr w:type="gramStart"/>
      <w:r w:rsidRPr="00CB699F">
        <w:t>where</w:t>
      </w:r>
      <w:proofErr w:type="gramEnd"/>
      <w:r w:rsidRPr="00CB699F">
        <w:t xml:space="preserve"> the </w:t>
      </w:r>
      <w:r>
        <w:t>negative</w:t>
      </w:r>
      <w:r w:rsidRPr="00CB699F">
        <w:t xml:space="preserve">-binomial </w:t>
      </w:r>
      <w:r>
        <w:t xml:space="preserve">distribution </w:t>
      </w:r>
      <w:r w:rsidRPr="00CB699F">
        <w:t>is such that</w:t>
      </w:r>
      <w:r>
        <w:t xml:space="preserve"> if </w:t>
      </w:r>
      <w:r w:rsidRPr="00CB699F">
        <w:rPr>
          <w:position w:val="-10"/>
        </w:rPr>
        <w:object w:dxaOrig="2740" w:dyaOrig="320">
          <v:shape id="_x0000_i1042" type="#_x0000_t75" style="width:136.45pt;height:16.25pt" o:ole="">
            <v:imagedata r:id="rId39" o:title=""/>
          </v:shape>
          <o:OLEObject Type="Embed" ProgID="Equation.DSMT4" ShapeID="_x0000_i1042" DrawAspect="Content" ObjectID="_1438596675" r:id="rId40"/>
        </w:object>
      </w:r>
      <w:r w:rsidRPr="00CB699F">
        <w:t xml:space="preserve"> </w:t>
      </w:r>
      <w:r>
        <w:t>then</w:t>
      </w:r>
      <w:r w:rsidRPr="004E643B">
        <w:rPr>
          <w:position w:val="-28"/>
        </w:rPr>
        <w:object w:dxaOrig="1560" w:dyaOrig="660">
          <v:shape id="_x0000_i1043" type="#_x0000_t75" style="width:77.8pt;height:33.1pt" o:ole="">
            <v:imagedata r:id="rId41" o:title=""/>
          </v:shape>
          <o:OLEObject Type="Embed" ProgID="Equation.DSMT4" ShapeID="_x0000_i1043" DrawAspect="Content" ObjectID="_1438596676" r:id="rId42"/>
        </w:object>
      </w:r>
      <w:r>
        <w:t xml:space="preserve">. This likelihood allows for over-dispersion (described by the parameter </w:t>
      </w:r>
      <w:r w:rsidRPr="00715483">
        <w:rPr>
          <w:i/>
        </w:rPr>
        <w:t>n</w:t>
      </w:r>
      <w:r>
        <w:t xml:space="preserve">) relative to a Poisson </w:t>
      </w:r>
      <w:r w:rsidR="002227CC">
        <w:t>distribution</w:t>
      </w:r>
      <w:r>
        <w:t xml:space="preserve"> with </w:t>
      </w:r>
      <w:bookmarkStart w:id="4" w:name="_Hlk343071130"/>
      <w:proofErr w:type="gramStart"/>
      <w:r>
        <w:t xml:space="preserve">mean </w:t>
      </w:r>
      <w:proofErr w:type="gramEnd"/>
      <w:r w:rsidRPr="00417993">
        <w:rPr>
          <w:position w:val="-12"/>
        </w:rPr>
        <w:object w:dxaOrig="320" w:dyaOrig="360">
          <v:shape id="_x0000_i1044" type="#_x0000_t75" style="width:16.85pt;height:18.6pt" o:ole="">
            <v:imagedata r:id="rId35" o:title=""/>
          </v:shape>
          <o:OLEObject Type="Embed" ProgID="Equation.DSMT4" ShapeID="_x0000_i1044" DrawAspect="Content" ObjectID="_1438596677" r:id="rId43"/>
        </w:object>
      </w:r>
      <w:bookmarkEnd w:id="4"/>
      <w:r>
        <w:t xml:space="preserve">. Notice that we are ignoring sampling </w:t>
      </w:r>
      <w:proofErr w:type="gramStart"/>
      <w:r>
        <w:t xml:space="preserve">effort </w:t>
      </w:r>
      <w:proofErr w:type="gramEnd"/>
      <w:r w:rsidRPr="00417993">
        <w:rPr>
          <w:position w:val="-12"/>
        </w:rPr>
        <w:object w:dxaOrig="340" w:dyaOrig="360">
          <v:shape id="_x0000_i1045" type="#_x0000_t75" style="width:16.85pt;height:18.6pt" o:ole="">
            <v:imagedata r:id="rId44" o:title=""/>
          </v:shape>
          <o:OLEObject Type="Embed" ProgID="Equation.DSMT4" ShapeID="_x0000_i1045" DrawAspect="Content" ObjectID="_1438596678" r:id="rId45"/>
        </w:object>
      </w:r>
      <w:r>
        <w:t xml:space="preserve">, similar to most mechanistic disease dynamics models. The mean </w:t>
      </w:r>
      <w:r w:rsidRPr="00417993">
        <w:rPr>
          <w:position w:val="-12"/>
        </w:rPr>
        <w:object w:dxaOrig="320" w:dyaOrig="360">
          <v:shape id="_x0000_i1046" type="#_x0000_t75" style="width:16.85pt;height:18.6pt" o:ole="">
            <v:imagedata r:id="rId35" o:title=""/>
          </v:shape>
          <o:OLEObject Type="Embed" ProgID="Equation.DSMT4" ShapeID="_x0000_i1046" DrawAspect="Content" ObjectID="_1438596679" r:id="rId46"/>
        </w:object>
      </w:r>
      <w:r>
        <w:t xml:space="preserve"> is given by:</w:t>
      </w:r>
    </w:p>
    <w:p w:rsidR="00AA5315" w:rsidRDefault="00AA5315" w:rsidP="00AA5315">
      <w:r w:rsidRPr="00417993">
        <w:rPr>
          <w:position w:val="-32"/>
        </w:rPr>
        <w:object w:dxaOrig="2820" w:dyaOrig="760">
          <v:shape id="_x0000_i1047" type="#_x0000_t75" style="width:140.5pt;height:38.3pt" o:ole="">
            <v:imagedata r:id="rId47" o:title=""/>
          </v:shape>
          <o:OLEObject Type="Embed" ProgID="Equation.DSMT4" ShapeID="_x0000_i1047" DrawAspect="Content" ObjectID="_1438596680" r:id="rId48"/>
        </w:object>
      </w:r>
      <w:r>
        <w:t>,</w:t>
      </w:r>
    </w:p>
    <w:p w:rsidR="00AA5315" w:rsidRDefault="00AA5315" w:rsidP="00AA5315">
      <w:proofErr w:type="gramStart"/>
      <w:r>
        <w:t>where</w:t>
      </w:r>
      <w:proofErr w:type="gramEnd"/>
      <w:r>
        <w:t xml:space="preserve"> </w:t>
      </w:r>
      <w:r w:rsidRPr="00417993">
        <w:rPr>
          <w:position w:val="-32"/>
        </w:rPr>
        <w:object w:dxaOrig="2120" w:dyaOrig="760">
          <v:shape id="_x0000_i1048" type="#_x0000_t75" style="width:105.1pt;height:38.3pt" o:ole="">
            <v:imagedata r:id="rId49" o:title=""/>
          </v:shape>
          <o:OLEObject Type="Embed" ProgID="Equation.DSMT4" ShapeID="_x0000_i1048" DrawAspect="Content" ObjectID="_1438596681" r:id="rId50"/>
        </w:object>
      </w:r>
      <w:r>
        <w:t xml:space="preserve"> is the true infection incidence, </w:t>
      </w:r>
      <w:r w:rsidRPr="007C29FD">
        <w:rPr>
          <w:position w:val="-14"/>
        </w:rPr>
        <w:object w:dxaOrig="460" w:dyaOrig="380">
          <v:shape id="_x0000_i1049" type="#_x0000_t75" style="width:22.65pt;height:18.6pt" o:ole="">
            <v:imagedata r:id="rId51" o:title=""/>
          </v:shape>
          <o:OLEObject Type="Embed" ProgID="Equation.DSMT4" ShapeID="_x0000_i1049" DrawAspect="Content" ObjectID="_1438596682" r:id="rId52"/>
        </w:object>
      </w:r>
      <w:r>
        <w:t xml:space="preserve">is the yearly parameter governing transmission rate, and </w:t>
      </w:r>
      <w:r w:rsidRPr="00B344B2">
        <w:rPr>
          <w:position w:val="-6"/>
        </w:rPr>
        <w:object w:dxaOrig="240" w:dyaOrig="220">
          <v:shape id="_x0000_i1050" type="#_x0000_t75" style="width:11.05pt;height:11.05pt" o:ole="">
            <v:imagedata r:id="rId53" o:title=""/>
          </v:shape>
          <o:OLEObject Type="Embed" ProgID="Equation.DSMT4" ShapeID="_x0000_i1050" DrawAspect="Content" ObjectID="_1438596683" r:id="rId54"/>
        </w:object>
      </w:r>
      <w:r>
        <w:t xml:space="preserve"> is the reporting rate. The underlying deterministic SIS disease dynamics is given by: </w:t>
      </w:r>
    </w:p>
    <w:p w:rsidR="00AA5315" w:rsidRDefault="00AA5315" w:rsidP="00AA5315">
      <w:pPr>
        <w:rPr>
          <w:position w:val="-30"/>
        </w:rPr>
      </w:pPr>
      <w:r w:rsidRPr="00B344B2">
        <w:rPr>
          <w:position w:val="-30"/>
        </w:rPr>
        <w:object w:dxaOrig="4420" w:dyaOrig="680">
          <v:shape id="_x0000_i1051" type="#_x0000_t75" style="width:220.05pt;height:33.1pt" o:ole="">
            <v:imagedata r:id="rId55" o:title=""/>
          </v:shape>
          <o:OLEObject Type="Embed" ProgID="Equation.DSMT4" ShapeID="_x0000_i1051" DrawAspect="Content" ObjectID="_1438596684" r:id="rId56"/>
        </w:object>
      </w:r>
      <w:r>
        <w:t>,</w:t>
      </w:r>
    </w:p>
    <w:p w:rsidR="00003203" w:rsidRDefault="00AA5315" w:rsidP="00AA5315">
      <w:proofErr w:type="gramStart"/>
      <w:r>
        <w:t>where</w:t>
      </w:r>
      <w:proofErr w:type="gramEnd"/>
      <w:r>
        <w:t xml:space="preserve"> </w:t>
      </w:r>
      <w:r w:rsidRPr="00B344B2">
        <w:rPr>
          <w:i/>
        </w:rPr>
        <w:t>r</w:t>
      </w:r>
      <w:r>
        <w:t xml:space="preserve"> and </w:t>
      </w:r>
      <w:r w:rsidRPr="00B344B2">
        <w:rPr>
          <w:i/>
        </w:rPr>
        <w:t>c</w:t>
      </w:r>
      <w:r>
        <w:t xml:space="preserve"> are the recovery and cure rates, respectively. This disease dynamics can be slightly </w:t>
      </w:r>
      <w:r w:rsidR="00003203">
        <w:t xml:space="preserve">simplified to </w:t>
      </w:r>
    </w:p>
    <w:p w:rsidR="00003203" w:rsidRDefault="00003203" w:rsidP="00003203">
      <w:pPr>
        <w:ind w:firstLine="720"/>
      </w:pPr>
      <w:r w:rsidRPr="00B344B2">
        <w:rPr>
          <w:position w:val="-30"/>
        </w:rPr>
        <w:object w:dxaOrig="3840" w:dyaOrig="680">
          <v:shape id="_x0000_i1052" type="#_x0000_t75" style="width:192.75pt;height:33.7pt" o:ole="">
            <v:imagedata r:id="rId57" o:title=""/>
          </v:shape>
          <o:OLEObject Type="Embed" ProgID="Equation.DSMT4" ShapeID="_x0000_i1052" DrawAspect="Content" ObjectID="_1438596685" r:id="rId58"/>
        </w:object>
      </w:r>
      <w:r>
        <w:t>,</w:t>
      </w:r>
      <w:r w:rsidRPr="00645EAF">
        <w:t xml:space="preserve"> </w:t>
      </w:r>
    </w:p>
    <w:p w:rsidR="00003203" w:rsidRDefault="00003203" w:rsidP="00003203">
      <w:proofErr w:type="gramStart"/>
      <w:r>
        <w:t xml:space="preserve">where </w:t>
      </w:r>
      <w:proofErr w:type="gramEnd"/>
      <w:r w:rsidRPr="00645EAF">
        <w:rPr>
          <w:position w:val="-10"/>
        </w:rPr>
        <w:object w:dxaOrig="880" w:dyaOrig="320">
          <v:shape id="_x0000_i1053" type="#_x0000_t75" style="width:44.15pt;height:16.25pt" o:ole="">
            <v:imagedata r:id="rId59" o:title=""/>
          </v:shape>
          <o:OLEObject Type="Embed" ProgID="Equation.DSMT4" ShapeID="_x0000_i1053" DrawAspect="Content" ObjectID="_1438596686" r:id="rId60"/>
        </w:object>
      </w:r>
      <w:r>
        <w:t>. We assume vague priors for all parameters (</w:t>
      </w:r>
      <w:r w:rsidRPr="00645EAF">
        <w:rPr>
          <w:position w:val="-12"/>
        </w:rPr>
        <w:object w:dxaOrig="1320" w:dyaOrig="360">
          <v:shape id="_x0000_i1054" type="#_x0000_t75" style="width:66.75pt;height:18.6pt" o:ole="">
            <v:imagedata r:id="rId61" o:title=""/>
          </v:shape>
          <o:OLEObject Type="Embed" ProgID="Equation.DSMT4" ShapeID="_x0000_i1054" DrawAspect="Content" ObjectID="_1438596687" r:id="rId62"/>
        </w:object>
      </w:r>
      <w:r>
        <w:t xml:space="preserve">) and initial states </w:t>
      </w:r>
      <w:r w:rsidR="002227CC">
        <w:t>(</w:t>
      </w:r>
      <w:r w:rsidRPr="00645EAF">
        <w:rPr>
          <w:position w:val="-14"/>
        </w:rPr>
        <w:object w:dxaOrig="540" w:dyaOrig="380">
          <v:shape id="_x0000_i1055" type="#_x0000_t75" style="width:26.7pt;height:19.15pt" o:ole="">
            <v:imagedata r:id="rId63" o:title=""/>
          </v:shape>
          <o:OLEObject Type="Embed" ProgID="Equation.DSMT4" ShapeID="_x0000_i1055" DrawAspect="Content" ObjectID="_1438596688" r:id="rId64"/>
        </w:object>
      </w:r>
      <w:proofErr w:type="gramStart"/>
      <w:r>
        <w:t>) ,</w:t>
      </w:r>
      <w:proofErr w:type="gramEnd"/>
      <w:r>
        <w:t xml:space="preserve"> namely </w:t>
      </w:r>
    </w:p>
    <w:p w:rsidR="00003203" w:rsidRDefault="00003203" w:rsidP="00003203">
      <w:pPr>
        <w:ind w:firstLine="360"/>
      </w:pPr>
      <w:r w:rsidRPr="001C0F30">
        <w:rPr>
          <w:position w:val="-12"/>
        </w:rPr>
        <w:object w:dxaOrig="2000" w:dyaOrig="360">
          <v:shape id="_x0000_i1056" type="#_x0000_t75" style="width:99.3pt;height:18.6pt" o:ole="">
            <v:imagedata r:id="rId65" o:title=""/>
          </v:shape>
          <o:OLEObject Type="Embed" ProgID="Equation.DSMT4" ShapeID="_x0000_i1056" DrawAspect="Content" ObjectID="_1438596689" r:id="rId66"/>
        </w:object>
      </w:r>
      <w:r w:rsidRPr="006068C1">
        <w:t xml:space="preserve">, </w:t>
      </w:r>
    </w:p>
    <w:p w:rsidR="00003203" w:rsidRDefault="00003203" w:rsidP="00003203">
      <w:pPr>
        <w:ind w:firstLine="360"/>
      </w:pPr>
      <w:r w:rsidRPr="006068C1">
        <w:rPr>
          <w:position w:val="-10"/>
        </w:rPr>
        <w:object w:dxaOrig="1600" w:dyaOrig="320">
          <v:shape id="_x0000_i1057" type="#_x0000_t75" style="width:80.15pt;height:16.25pt" o:ole="">
            <v:imagedata r:id="rId67" o:title=""/>
          </v:shape>
          <o:OLEObject Type="Embed" ProgID="Equation.DSMT4" ShapeID="_x0000_i1057" DrawAspect="Content" ObjectID="_1438596690" r:id="rId68"/>
        </w:object>
      </w:r>
      <w:r>
        <w:t xml:space="preserve">, </w:t>
      </w:r>
    </w:p>
    <w:p w:rsidR="00003203" w:rsidRDefault="00003203" w:rsidP="00003203">
      <w:pPr>
        <w:ind w:firstLine="360"/>
      </w:pPr>
      <w:r w:rsidRPr="003F6904">
        <w:rPr>
          <w:position w:val="-12"/>
        </w:rPr>
        <w:object w:dxaOrig="1700" w:dyaOrig="360">
          <v:shape id="_x0000_i1058" type="#_x0000_t75" style="width:84.75pt;height:18.6pt" o:ole="">
            <v:imagedata r:id="rId69" o:title=""/>
          </v:shape>
          <o:OLEObject Type="Embed" ProgID="Equation.DSMT4" ShapeID="_x0000_i1058" DrawAspect="Content" ObjectID="_1438596691" r:id="rId70"/>
        </w:object>
      </w:r>
      <w:r>
        <w:t xml:space="preserve">. </w:t>
      </w:r>
    </w:p>
    <w:p w:rsidR="00003203" w:rsidRDefault="00003203" w:rsidP="00003203">
      <w:pPr>
        <w:ind w:firstLine="360"/>
      </w:pPr>
      <w:r>
        <w:t>Metropolis-within-Gibbs steps were used to sample the full conditional distributions of these parameters and states.</w:t>
      </w:r>
    </w:p>
    <w:p w:rsidR="00AA5315" w:rsidRPr="006068C1" w:rsidRDefault="00AA5315" w:rsidP="00003203">
      <w:pPr>
        <w:ind w:firstLine="360"/>
      </w:pPr>
    </w:p>
    <w:p w:rsidR="00003203" w:rsidRPr="00003203" w:rsidRDefault="00AE295D" w:rsidP="00D65B80">
      <w:pPr>
        <w:pStyle w:val="Heading2"/>
      </w:pPr>
      <w:bookmarkStart w:id="5" w:name="_Toc352066912"/>
      <w:r>
        <w:t xml:space="preserve">  </w:t>
      </w:r>
      <w:r w:rsidR="00003203" w:rsidRPr="00003203">
        <w:t>Posterior distributions for the parameters in the proposed model</w:t>
      </w:r>
      <w:bookmarkEnd w:id="5"/>
    </w:p>
    <w:p w:rsidR="00003203" w:rsidRDefault="00003203" w:rsidP="00003203">
      <w:pPr>
        <w:ind w:firstLine="360"/>
      </w:pPr>
      <w:r>
        <w:t xml:space="preserve">Here we provide a visual comparison of the marginal prior and posterior distributions of all model parameters. This comparison reveals that the priors on the yearly parameters </w:t>
      </w:r>
      <w:r w:rsidRPr="00170084">
        <w:rPr>
          <w:position w:val="-14"/>
        </w:rPr>
        <w:object w:dxaOrig="440" w:dyaOrig="380">
          <v:shape id="_x0000_i1059" type="#_x0000_t75" style="width:22.05pt;height:19.15pt" o:ole="">
            <v:imagedata r:id="rId71" o:title=""/>
          </v:shape>
          <o:OLEObject Type="Embed" ProgID="Equation.DSMT4" ShapeID="_x0000_i1059" DrawAspect="Content" ObjectID="_1438596692" r:id="rId72"/>
        </w:object>
      </w:r>
      <w:r>
        <w:t xml:space="preserve">and </w:t>
      </w:r>
      <w:r w:rsidRPr="00170084">
        <w:rPr>
          <w:position w:val="-6"/>
        </w:rPr>
        <w:object w:dxaOrig="220" w:dyaOrig="279">
          <v:shape id="_x0000_i1060" type="#_x0000_t75" style="width:11.05pt;height:13.95pt" o:ole="">
            <v:imagedata r:id="rId73" o:title=""/>
          </v:shape>
          <o:OLEObject Type="Embed" ProgID="Equation.DSMT4" ShapeID="_x0000_i1060" DrawAspect="Content" ObjectID="_1438596693" r:id="rId74"/>
        </w:object>
      </w:r>
      <w:r>
        <w:t xml:space="preserve"> are likely to have had little influence in their corresponding posterior distributions. On the other hand, as expected, the priors on the observation model parameters strongly influenced the </w:t>
      </w:r>
      <w:r w:rsidR="004A4C06">
        <w:t xml:space="preserve">corresponding </w:t>
      </w:r>
      <w:r>
        <w:t>posterior distributions (</w:t>
      </w:r>
      <w:r w:rsidR="000F7DA0">
        <w:t>Figure S1</w:t>
      </w:r>
      <w:r>
        <w:t xml:space="preserve"> and </w:t>
      </w:r>
      <w:r w:rsidR="000F7DA0">
        <w:t>Figure S2</w:t>
      </w:r>
      <w:r>
        <w:t>).</w:t>
      </w:r>
    </w:p>
    <w:p w:rsidR="00003203" w:rsidRDefault="00003203" w:rsidP="00003203">
      <w:pPr>
        <w:keepNext/>
        <w:ind w:firstLine="360"/>
        <w:jc w:val="center"/>
      </w:pPr>
    </w:p>
    <w:p w:rsidR="00757010" w:rsidRDefault="00757010"/>
    <w:p w:rsidR="00757010" w:rsidRDefault="00757010"/>
    <w:p w:rsidR="00757010" w:rsidRPr="00757010" w:rsidRDefault="00757010" w:rsidP="00757010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57010">
        <w:t>References</w:t>
      </w:r>
    </w:p>
    <w:p w:rsidR="00757010" w:rsidRPr="00757010" w:rsidRDefault="00757010" w:rsidP="00757010">
      <w:pPr>
        <w:pStyle w:val="EndNoteBibliographyTitle"/>
      </w:pPr>
    </w:p>
    <w:p w:rsidR="00757010" w:rsidRPr="00757010" w:rsidRDefault="00757010" w:rsidP="00757010">
      <w:pPr>
        <w:pStyle w:val="EndNoteBibliography"/>
        <w:spacing w:after="0"/>
        <w:ind w:left="720" w:hanging="720"/>
      </w:pPr>
      <w:bookmarkStart w:id="6" w:name="_ENREF_1"/>
      <w:r w:rsidRPr="00757010">
        <w:t>1. Prado R, West M (2010) Time series: modeling, computation, and inference: Chapman &amp; Hall/CRC.</w:t>
      </w:r>
      <w:bookmarkEnd w:id="6"/>
    </w:p>
    <w:p w:rsidR="00757010" w:rsidRPr="00757010" w:rsidRDefault="00757010" w:rsidP="00757010">
      <w:pPr>
        <w:pStyle w:val="EndNoteBibliography"/>
        <w:ind w:left="720" w:hanging="720"/>
      </w:pPr>
      <w:bookmarkStart w:id="7" w:name="_ENREF_2"/>
      <w:r w:rsidRPr="00757010">
        <w:t>2. Keeling MJ, Rohani P (2008) Modeling infectious diseases in humans and animals. Princeton, New Jersey: Princeton University Press.</w:t>
      </w:r>
      <w:bookmarkEnd w:id="7"/>
    </w:p>
    <w:p w:rsidR="00364778" w:rsidRDefault="00757010">
      <w:r>
        <w:fldChar w:fldCharType="end"/>
      </w:r>
    </w:p>
    <w:sectPr w:rsidR="00364778" w:rsidSect="00364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14E"/>
    <w:multiLevelType w:val="hybridMultilevel"/>
    <w:tmpl w:val="BFEAE8D4"/>
    <w:lvl w:ilvl="0" w:tplc="E0FE1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7FD"/>
    <w:multiLevelType w:val="hybridMultilevel"/>
    <w:tmpl w:val="5772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740EF"/>
    <w:multiLevelType w:val="hybridMultilevel"/>
    <w:tmpl w:val="B44EA1B0"/>
    <w:lvl w:ilvl="0" w:tplc="E5324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D788B"/>
    <w:multiLevelType w:val="hybridMultilevel"/>
    <w:tmpl w:val="69E6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Palatino Linotype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03203"/>
    <w:rsid w:val="00003203"/>
    <w:rsid w:val="000F7DA0"/>
    <w:rsid w:val="00192F02"/>
    <w:rsid w:val="001F6315"/>
    <w:rsid w:val="002215D4"/>
    <w:rsid w:val="002227CC"/>
    <w:rsid w:val="00256F2E"/>
    <w:rsid w:val="002C6649"/>
    <w:rsid w:val="00364778"/>
    <w:rsid w:val="003D0B81"/>
    <w:rsid w:val="004A4C06"/>
    <w:rsid w:val="004A6D44"/>
    <w:rsid w:val="005941D8"/>
    <w:rsid w:val="006525E9"/>
    <w:rsid w:val="00754D8A"/>
    <w:rsid w:val="00757010"/>
    <w:rsid w:val="009E65C8"/>
    <w:rsid w:val="00A66B8E"/>
    <w:rsid w:val="00AA5315"/>
    <w:rsid w:val="00AE295D"/>
    <w:rsid w:val="00C47524"/>
    <w:rsid w:val="00D65B80"/>
    <w:rsid w:val="00E22F4A"/>
    <w:rsid w:val="00E73F8F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03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03"/>
    <w:pPr>
      <w:keepNext/>
      <w:spacing w:before="120" w:after="240" w:line="240" w:lineRule="auto"/>
      <w:outlineLvl w:val="0"/>
    </w:pPr>
    <w:rPr>
      <w:rFonts w:ascii="Arial (W1)" w:eastAsia="Times New Roman" w:hAnsi="Arial (W1)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203"/>
    <w:pPr>
      <w:keepNext/>
      <w:spacing w:before="120" w:after="24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3203"/>
    <w:pPr>
      <w:keepNext/>
      <w:spacing w:before="120" w:after="240" w:line="240" w:lineRule="auto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203"/>
    <w:rPr>
      <w:rFonts w:ascii="Arial (W1)" w:eastAsia="Times New Roman" w:hAnsi="Arial (W1)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203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3203"/>
    <w:rPr>
      <w:rFonts w:ascii="Arial" w:eastAsia="Times New Roman" w:hAnsi="Arial" w:cs="Times New Roman"/>
      <w:b/>
      <w:sz w:val="26"/>
      <w:szCs w:val="26"/>
    </w:rPr>
  </w:style>
  <w:style w:type="paragraph" w:styleId="Caption">
    <w:name w:val="caption"/>
    <w:basedOn w:val="Normal"/>
    <w:next w:val="Normal"/>
    <w:link w:val="CaptionChar"/>
    <w:qFormat/>
    <w:rsid w:val="00003203"/>
    <w:pPr>
      <w:spacing w:after="240" w:line="240" w:lineRule="auto"/>
      <w:ind w:firstLine="720"/>
      <w:jc w:val="center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032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aptionChar">
    <w:name w:val="Caption Char"/>
    <w:basedOn w:val="DefaultParagraphFont"/>
    <w:link w:val="Caption"/>
    <w:rsid w:val="00003203"/>
    <w:rPr>
      <w:rFonts w:ascii="Palatino Linotype" w:eastAsia="Times New Roman" w:hAnsi="Palatino Linotype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0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5701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7010"/>
    <w:rPr>
      <w:rFonts w:ascii="Palatino Linotype" w:hAnsi="Palatino Linotype"/>
      <w:noProof/>
    </w:rPr>
  </w:style>
  <w:style w:type="paragraph" w:customStyle="1" w:styleId="EndNoteBibliography">
    <w:name w:val="EndNote Bibliography"/>
    <w:basedOn w:val="Normal"/>
    <w:link w:val="EndNoteBibliographyChar"/>
    <w:rsid w:val="0075701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7010"/>
    <w:rPr>
      <w:rFonts w:ascii="Palatino Linotype" w:hAnsi="Palatino Linotype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03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03"/>
    <w:pPr>
      <w:keepNext/>
      <w:spacing w:before="120" w:after="240" w:line="240" w:lineRule="auto"/>
      <w:outlineLvl w:val="0"/>
    </w:pPr>
    <w:rPr>
      <w:rFonts w:ascii="Arial (W1)" w:eastAsia="Times New Roman" w:hAnsi="Arial (W1)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203"/>
    <w:pPr>
      <w:keepNext/>
      <w:spacing w:before="120" w:after="24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3203"/>
    <w:pPr>
      <w:keepNext/>
      <w:spacing w:before="120" w:after="240" w:line="240" w:lineRule="auto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203"/>
    <w:rPr>
      <w:rFonts w:ascii="Arial (W1)" w:eastAsia="Times New Roman" w:hAnsi="Arial (W1)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203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3203"/>
    <w:rPr>
      <w:rFonts w:ascii="Arial" w:eastAsia="Times New Roman" w:hAnsi="Arial" w:cs="Times New Roman"/>
      <w:b/>
      <w:sz w:val="26"/>
      <w:szCs w:val="26"/>
    </w:rPr>
  </w:style>
  <w:style w:type="paragraph" w:styleId="Caption">
    <w:name w:val="caption"/>
    <w:basedOn w:val="Normal"/>
    <w:next w:val="Normal"/>
    <w:link w:val="CaptionChar"/>
    <w:qFormat/>
    <w:rsid w:val="00003203"/>
    <w:pPr>
      <w:spacing w:after="240" w:line="240" w:lineRule="auto"/>
      <w:ind w:firstLine="720"/>
      <w:jc w:val="center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032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aptionChar">
    <w:name w:val="Caption Char"/>
    <w:basedOn w:val="DefaultParagraphFont"/>
    <w:link w:val="Caption"/>
    <w:rsid w:val="00003203"/>
    <w:rPr>
      <w:rFonts w:ascii="Palatino Linotype" w:eastAsia="Times New Roman" w:hAnsi="Palatino Linotype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0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75701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7010"/>
    <w:rPr>
      <w:rFonts w:ascii="Palatino Linotype" w:hAnsi="Palatino Linotype"/>
      <w:noProof/>
    </w:rPr>
  </w:style>
  <w:style w:type="paragraph" w:customStyle="1" w:styleId="EndNoteBibliography">
    <w:name w:val="EndNote Bibliography"/>
    <w:basedOn w:val="Normal"/>
    <w:link w:val="EndNoteBibliographyChar"/>
    <w:rsid w:val="0075701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7010"/>
    <w:rPr>
      <w:rFonts w:ascii="Palatino Linotype" w:hAnsi="Palatino Linotype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Valle,Denis R</cp:lastModifiedBy>
  <cp:revision>3</cp:revision>
  <dcterms:created xsi:type="dcterms:W3CDTF">2013-08-21T17:22:00Z</dcterms:created>
  <dcterms:modified xsi:type="dcterms:W3CDTF">2013-08-21T17:23:00Z</dcterms:modified>
</cp:coreProperties>
</file>