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CF" w:rsidRPr="007902F0" w:rsidRDefault="00043ECF" w:rsidP="00043ECF">
      <w:pPr>
        <w:pStyle w:val="Heading2"/>
      </w:pPr>
      <w:bookmarkStart w:id="0" w:name="_Toc96192043"/>
      <w:r>
        <w:t>S2 Text: Details of Statistical Analyses</w:t>
      </w:r>
      <w:bookmarkEnd w:id="0"/>
    </w:p>
    <w:p w:rsidR="00043ECF" w:rsidRPr="00944845" w:rsidRDefault="00043ECF" w:rsidP="00043ECF">
      <w:pPr>
        <w:pBdr>
          <w:top w:val="nil"/>
          <w:left w:val="nil"/>
          <w:bottom w:val="nil"/>
          <w:right w:val="nil"/>
          <w:between w:val="nil"/>
        </w:pBdr>
        <w:rPr>
          <w:rFonts w:ascii="Adobe Garamond Pro" w:hAnsi="Adobe Garamond Pro"/>
          <w:b/>
          <w:bCs/>
        </w:rPr>
      </w:pPr>
      <w:r w:rsidRPr="00944845">
        <w:rPr>
          <w:rFonts w:ascii="Adobe Garamond Pro" w:hAnsi="Adobe Garamond Pro"/>
          <w:b/>
          <w:bCs/>
          <w:color w:val="000000"/>
        </w:rPr>
        <w:t>Analysis of CDC models</w:t>
      </w:r>
    </w:p>
    <w:p w:rsidR="00043ECF" w:rsidRDefault="00043ECF" w:rsidP="00043ECF">
      <w:pPr>
        <w:spacing w:before="280" w:after="280" w:line="240" w:lineRule="auto"/>
        <w:rPr>
          <w:rFonts w:ascii="Adobe Garamond Pro" w:hAnsi="Adobe Garamond Pro"/>
        </w:rPr>
      </w:pPr>
      <w:r w:rsidRPr="00944845">
        <w:rPr>
          <w:rFonts w:ascii="Adobe Garamond Pro" w:hAnsi="Adobe Garamond Pro"/>
        </w:rPr>
        <w:t xml:space="preserve">We </w:t>
      </w:r>
      <w:r w:rsidRPr="00BB54B0">
        <w:rPr>
          <w:rFonts w:ascii="Adobe Garamond Pro" w:hAnsi="Adobe Garamond Pro"/>
        </w:rPr>
        <w:t>use</w:t>
      </w:r>
      <w:r>
        <w:rPr>
          <w:rFonts w:ascii="Adobe Garamond Pro" w:hAnsi="Adobe Garamond Pro"/>
        </w:rPr>
        <w:t>d</w:t>
      </w:r>
      <w:r w:rsidRPr="00BB54B0">
        <w:rPr>
          <w:rFonts w:ascii="Adobe Garamond Pro" w:hAnsi="Adobe Garamond Pro"/>
        </w:rPr>
        <w:t xml:space="preserve"> data from the Center for Disease Control (CDC) repository of COVID-19 projections</w:t>
      </w:r>
      <w:r>
        <w:rPr>
          <w:rFonts w:ascii="Adobe Garamond Pro" w:hAnsi="Adobe Garamond Pro"/>
        </w:rPr>
        <w:t>, which included</w:t>
      </w:r>
      <w:r w:rsidRPr="00BB54B0">
        <w:rPr>
          <w:rFonts w:ascii="Adobe Garamond Pro" w:hAnsi="Adobe Garamond Pro"/>
        </w:rPr>
        <w:t xml:space="preserve"> </w:t>
      </w:r>
      <w:r>
        <w:rPr>
          <w:rFonts w:ascii="Adobe Garamond Pro" w:hAnsi="Adobe Garamond Pro"/>
        </w:rPr>
        <w:t>490,210</w:t>
      </w:r>
      <w:r w:rsidRPr="00BB54B0">
        <w:rPr>
          <w:rFonts w:ascii="Adobe Garamond Pro" w:hAnsi="Adobe Garamond Pro"/>
        </w:rPr>
        <w:t xml:space="preserve"> point foreca</w:t>
      </w:r>
      <w:r>
        <w:rPr>
          <w:rFonts w:ascii="Adobe Garamond Pro" w:hAnsi="Adobe Garamond Pro"/>
        </w:rPr>
        <w:t xml:space="preserve">sts for weekly death incidents </w:t>
      </w:r>
      <w:r w:rsidRPr="00BB54B0">
        <w:rPr>
          <w:rFonts w:ascii="Adobe Garamond Pro" w:hAnsi="Adobe Garamond Pro"/>
        </w:rPr>
        <w:t xml:space="preserve">across 57 locations, forecast dates over the span of a </w:t>
      </w:r>
      <w:r>
        <w:rPr>
          <w:rFonts w:ascii="Adobe Garamond Pro" w:hAnsi="Adobe Garamond Pro"/>
        </w:rPr>
        <w:t xml:space="preserve">year (4/13/2020 to 3/29/2021), </w:t>
      </w:r>
      <w:r w:rsidRPr="00BB54B0">
        <w:rPr>
          <w:rFonts w:ascii="Adobe Garamond Pro" w:hAnsi="Adobe Garamond Pro"/>
        </w:rPr>
        <w:t>20 forecast horizons (1-week-ahead predictions to 20-week-ahead predictions), and 61 models</w:t>
      </w:r>
      <w:r>
        <w:rPr>
          <w:rFonts w:ascii="Adobe Garamond Pro" w:hAnsi="Adobe Garamond Pro"/>
        </w:rPr>
        <w:t xml:space="preserve">. We </w:t>
      </w:r>
      <w:r w:rsidRPr="00944845">
        <w:rPr>
          <w:rFonts w:ascii="Adobe Garamond Pro" w:hAnsi="Adobe Garamond Pro"/>
        </w:rPr>
        <w:t xml:space="preserve">chose the normalized/per-capita absolute prediction error as the basis of comparison for model performance, i.e. the absolute difference between a model’s prediction of weekly incident death and the true weekly incident death, divided by location’s population. As this measure is highly skewed we log-transformed the measure and included 1-99 percentile of the data for further analysis. </w:t>
      </w:r>
      <w:r>
        <w:rPr>
          <w:rFonts w:ascii="Adobe Garamond Pro" w:hAnsi="Adobe Garamond Pro"/>
        </w:rPr>
        <w:t>We further excluded</w:t>
      </w:r>
      <w:r w:rsidRPr="00944845">
        <w:rPr>
          <w:rFonts w:ascii="Adobe Garamond Pro" w:hAnsi="Adobe Garamond Pro"/>
        </w:rPr>
        <w:t xml:space="preserve"> two agent-based models </w:t>
      </w:r>
      <w:r>
        <w:rPr>
          <w:rFonts w:ascii="Adobe Garamond Pro" w:hAnsi="Adobe Garamond Pro"/>
        </w:rPr>
        <w:t>and COVID-hub ensemble</w:t>
      </w:r>
      <w:r w:rsidRPr="00944845">
        <w:rPr>
          <w:rFonts w:ascii="Adobe Garamond Pro" w:hAnsi="Adobe Garamond Pro"/>
        </w:rPr>
        <w:t xml:space="preserve"> </w:t>
      </w:r>
      <w:r>
        <w:rPr>
          <w:rFonts w:ascii="Adobe Garamond Pro" w:hAnsi="Adobe Garamond Pro"/>
        </w:rPr>
        <w:t>(</w:t>
      </w:r>
      <w:r w:rsidRPr="00944845">
        <w:rPr>
          <w:rFonts w:ascii="Adobe Garamond Pro" w:hAnsi="Adobe Garamond Pro"/>
        </w:rPr>
        <w:t>the ensemble of all other eligible CDC models</w:t>
      </w:r>
      <w:r>
        <w:rPr>
          <w:rFonts w:ascii="Adobe Garamond Pro" w:hAnsi="Adobe Garamond Pro"/>
        </w:rPr>
        <w:t>) from the analysis,</w:t>
      </w:r>
      <w:r w:rsidRPr="00944845">
        <w:rPr>
          <w:rFonts w:ascii="Adobe Garamond Pro" w:hAnsi="Adobe Garamond Pro"/>
        </w:rPr>
        <w:t xml:space="preserve"> </w:t>
      </w:r>
      <w:r>
        <w:rPr>
          <w:rFonts w:ascii="Adobe Garamond Pro" w:hAnsi="Adobe Garamond Pro"/>
        </w:rPr>
        <w:t>which resulted in a final sample with 463,305 predictions made by 58</w:t>
      </w:r>
      <w:r w:rsidRPr="00944845">
        <w:rPr>
          <w:rFonts w:ascii="Adobe Garamond Pro" w:hAnsi="Adobe Garamond Pro"/>
        </w:rPr>
        <w:t xml:space="preserve"> models for each state of the United States, with target end dates ranging from </w:t>
      </w:r>
      <w:r>
        <w:rPr>
          <w:rFonts w:ascii="Adobe Garamond Pro" w:hAnsi="Adobe Garamond Pro"/>
        </w:rPr>
        <w:t>4/18/</w:t>
      </w:r>
      <w:r w:rsidRPr="00944845">
        <w:rPr>
          <w:rFonts w:ascii="Adobe Garamond Pro" w:hAnsi="Adobe Garamond Pro"/>
        </w:rPr>
        <w:t xml:space="preserve">2020 to </w:t>
      </w:r>
      <w:r>
        <w:rPr>
          <w:rFonts w:ascii="Adobe Garamond Pro" w:hAnsi="Adobe Garamond Pro"/>
        </w:rPr>
        <w:t>4/3/</w:t>
      </w:r>
      <w:r w:rsidRPr="00944845">
        <w:rPr>
          <w:rFonts w:ascii="Adobe Garamond Pro" w:hAnsi="Adobe Garamond Pro"/>
        </w:rPr>
        <w:t>2021</w:t>
      </w:r>
      <w:r>
        <w:rPr>
          <w:rFonts w:ascii="Adobe Garamond Pro" w:hAnsi="Adobe Garamond Pro"/>
        </w:rPr>
        <w:t xml:space="preserve">. </w:t>
      </w:r>
    </w:p>
    <w:p w:rsidR="00043ECF" w:rsidRDefault="00043ECF" w:rsidP="00043ECF">
      <w:pPr>
        <w:spacing w:before="280" w:after="280" w:line="240" w:lineRule="auto"/>
        <w:rPr>
          <w:rFonts w:ascii="Adobe Garamond Pro" w:hAnsi="Adobe Garamond Pro"/>
        </w:rPr>
      </w:pPr>
      <w:r w:rsidRPr="00944845">
        <w:rPr>
          <w:rFonts w:ascii="Adobe Garamond Pro" w:hAnsi="Adobe Garamond Pro"/>
        </w:rPr>
        <w:t xml:space="preserve">We compared how each type of the model performed in each forecast horizon with a constant model – a model that predicts future weekly </w:t>
      </w:r>
      <w:r w:rsidRPr="00053E7E">
        <w:rPr>
          <w:rFonts w:ascii="Adobe Garamond Pro" w:hAnsi="Adobe Garamond Pro" w:cstheme="minorBidi"/>
        </w:rPr>
        <w:t>incident</w:t>
      </w:r>
      <w:r w:rsidRPr="00944845">
        <w:rPr>
          <w:rFonts w:ascii="Adobe Garamond Pro" w:hAnsi="Adobe Garamond Pro"/>
        </w:rPr>
        <w:t xml:space="preserve"> death to be the same as the weekly incident death last observed. </w:t>
      </w:r>
      <w:r>
        <w:rPr>
          <w:rFonts w:ascii="Adobe Garamond Pro" w:hAnsi="Adobe Garamond Pro"/>
        </w:rPr>
        <w:t>Specifically, we included the weekly incident death predictions from the constant model for each unique combination of location, forecast date and forecast horizon in our sample frame as the baseline, and w</w:t>
      </w:r>
      <w:r w:rsidRPr="00944845">
        <w:rPr>
          <w:rFonts w:ascii="Adobe Garamond Pro" w:hAnsi="Adobe Garamond Pro"/>
        </w:rPr>
        <w:t xml:space="preserve">e included each model type (ensemble, non-mechanistic, mechanistic without state-resetting, and mechanistic with state-resetting) as a key independent variable in a linear regression with location-time fixed effects, and we ran separate regression analyses for each prediction horizon. </w:t>
      </w:r>
    </w:p>
    <w:p w:rsidR="00043ECF" w:rsidRDefault="00043ECF" w:rsidP="00043ECF">
      <w:pPr>
        <w:spacing w:before="280" w:after="280" w:line="240" w:lineRule="auto"/>
        <w:rPr>
          <w:rFonts w:ascii="Adobe Garamond Pro" w:hAnsi="Adobe Garamond Pro"/>
        </w:rPr>
      </w:pPr>
      <w:r w:rsidRPr="00944845">
        <w:rPr>
          <w:rFonts w:ascii="Adobe Garamond Pro" w:hAnsi="Adobe Garamond Pro"/>
        </w:rPr>
        <w:t xml:space="preserve">As depicted in </w:t>
      </w:r>
      <w:r>
        <w:rPr>
          <w:rFonts w:ascii="Adobe Garamond Pro" w:hAnsi="Adobe Garamond Pro"/>
        </w:rPr>
        <w:t>T</w:t>
      </w:r>
      <w:r w:rsidRPr="00944845">
        <w:rPr>
          <w:rFonts w:ascii="Adobe Garamond Pro" w:hAnsi="Adobe Garamond Pro"/>
        </w:rPr>
        <w:t xml:space="preserve">able </w:t>
      </w:r>
      <w:r>
        <w:rPr>
          <w:rFonts w:ascii="Adobe Garamond Pro" w:hAnsi="Adobe Garamond Pro"/>
        </w:rPr>
        <w:t>A</w:t>
      </w:r>
      <w:r w:rsidRPr="00944845">
        <w:rPr>
          <w:rFonts w:ascii="Adobe Garamond Pro" w:hAnsi="Adobe Garamond Pro"/>
        </w:rPr>
        <w:t>, the coefficient for each model-type represents the average differences in log-transformed normalized error between that model-type and the baseline</w:t>
      </w:r>
      <w:r>
        <w:rPr>
          <w:rFonts w:ascii="Adobe Garamond Pro" w:hAnsi="Adobe Garamond Pro"/>
        </w:rPr>
        <w:t xml:space="preserve"> (constant)</w:t>
      </w:r>
      <w:r w:rsidRPr="00944845">
        <w:rPr>
          <w:rFonts w:ascii="Adobe Garamond Pro" w:hAnsi="Adobe Garamond Pro"/>
        </w:rPr>
        <w:t xml:space="preserve"> model. Results showed that (1) in one-week-ahead predictions the constant model performs better than all other</w:t>
      </w:r>
      <w:r>
        <w:rPr>
          <w:rFonts w:ascii="Adobe Garamond Pro" w:hAnsi="Adobe Garamond Pro"/>
        </w:rPr>
        <w:t xml:space="preserve"> model</w:t>
      </w:r>
      <w:r w:rsidRPr="00944845">
        <w:rPr>
          <w:rFonts w:ascii="Adobe Garamond Pro" w:hAnsi="Adobe Garamond Pro"/>
        </w:rPr>
        <w:t xml:space="preserve"> types on average</w:t>
      </w:r>
      <w:r>
        <w:rPr>
          <w:rFonts w:ascii="Adobe Garamond Pro" w:hAnsi="Adobe Garamond Pro"/>
        </w:rPr>
        <w:t xml:space="preserve"> (but several individual models outperform the constant one); </w:t>
      </w:r>
      <w:r w:rsidRPr="00944845">
        <w:rPr>
          <w:rFonts w:ascii="Adobe Garamond Pro" w:hAnsi="Adobe Garamond Pro"/>
        </w:rPr>
        <w:t>many models</w:t>
      </w:r>
      <w:r>
        <w:rPr>
          <w:rFonts w:ascii="Adobe Garamond Pro" w:hAnsi="Adobe Garamond Pro"/>
        </w:rPr>
        <w:t xml:space="preserve"> and model types</w:t>
      </w:r>
      <w:r w:rsidRPr="00944845">
        <w:rPr>
          <w:rFonts w:ascii="Adobe Garamond Pro" w:hAnsi="Adobe Garamond Pro"/>
        </w:rPr>
        <w:t xml:space="preserve"> outperform the constant model in mid to long term predictions, with mechanistic model with state-resetting performing the best starting from 2-week-ahead predictions; (2) In short-term non-mechanistic and ensemble models perform better than mechanistic models without state-resetting, but that ordering reverse</w:t>
      </w:r>
      <w:r>
        <w:rPr>
          <w:rFonts w:ascii="Adobe Garamond Pro" w:hAnsi="Adobe Garamond Pro"/>
        </w:rPr>
        <w:t>d</w:t>
      </w:r>
      <w:r w:rsidRPr="00CA46A9">
        <w:rPr>
          <w:rFonts w:ascii="Adobe Garamond Pro" w:hAnsi="Adobe Garamond Pro"/>
        </w:rPr>
        <w:t xml:space="preserve"> beyond 4-5 weeks of projection horizon. However, on average mechanistic models with state-resetting outperform</w:t>
      </w:r>
      <w:r>
        <w:rPr>
          <w:rFonts w:ascii="Adobe Garamond Pro" w:hAnsi="Adobe Garamond Pro"/>
        </w:rPr>
        <w:t>ed</w:t>
      </w:r>
      <w:r w:rsidRPr="00CA46A9">
        <w:rPr>
          <w:rFonts w:ascii="Adobe Garamond Pro" w:hAnsi="Adobe Garamond Pro"/>
        </w:rPr>
        <w:t xml:space="preserve"> all others in both the short- and the long-term.</w:t>
      </w:r>
    </w:p>
    <w:p w:rsidR="00043ECF" w:rsidRDefault="00043ECF" w:rsidP="00043ECF">
      <w:pPr>
        <w:spacing w:before="280" w:after="280" w:line="240" w:lineRule="auto"/>
        <w:rPr>
          <w:rFonts w:ascii="Adobe Garamond Pro" w:hAnsi="Adobe Garamond Pro"/>
        </w:rPr>
      </w:pPr>
      <w:r>
        <w:rPr>
          <w:rFonts w:ascii="Adobe Garamond Pro" w:hAnsi="Adobe Garamond Pro"/>
        </w:rPr>
        <w:t xml:space="preserve">As a robustness check we also included more model characteristics, i.e. whether the modelers are affiliated with academia, whether the model has detailed documentation, and the interaction of the two, as covariates and reran the aforementioned analysis (we excluded the constant model from the analysis and used the </w:t>
      </w:r>
      <w:r w:rsidRPr="00D3185A">
        <w:rPr>
          <w:rFonts w:ascii="Adobe Garamond Pro" w:hAnsi="Adobe Garamond Pro" w:cs="Arial"/>
        </w:rPr>
        <w:t>m</w:t>
      </w:r>
      <w:r w:rsidRPr="00151327">
        <w:rPr>
          <w:rFonts w:ascii="Adobe Garamond Pro" w:hAnsi="Adobe Garamond Pro" w:cs="Arial"/>
        </w:rPr>
        <w:t>echanistic (excluding state-resetting)</w:t>
      </w:r>
      <w:r>
        <w:rPr>
          <w:rFonts w:ascii="Adobe Garamond Pro" w:hAnsi="Adobe Garamond Pro" w:cs="Arial"/>
        </w:rPr>
        <w:t xml:space="preserve"> model as the baseline model).</w:t>
      </w:r>
      <w:r>
        <w:rPr>
          <w:rFonts w:ascii="Adobe Garamond Pro" w:hAnsi="Adobe Garamond Pro"/>
        </w:rPr>
        <w:t xml:space="preserve"> Results are reported in Table B and are consistent with our main results. Interestingly models with documentation performed worse than those without within 1-8 weeks-ahead predictions, but that effect was attenuated (and reversed in 5-8 weeks-ahead predictions) if the modelers were from academia. Note that the within R-squared (excluding the variation accounted for by the fixed effects) were small for all of the models. This is somewhat expected as there wa</w:t>
      </w:r>
      <w:r w:rsidRPr="00AE1EFB">
        <w:rPr>
          <w:rFonts w:ascii="Adobe Garamond Pro" w:hAnsi="Adobe Garamond Pro"/>
        </w:rPr>
        <w:t xml:space="preserve">s </w:t>
      </w:r>
      <w:r>
        <w:rPr>
          <w:rFonts w:ascii="Adobe Garamond Pro" w:hAnsi="Adobe Garamond Pro"/>
        </w:rPr>
        <w:t>much heterogeneity across model performance [19], and the purpose of this analysis was not to make causal inference about factors influencing model performance but to descriptively compare the model performance based on the broad categories that their methodological approaches fall into. These analyses generate model building hypotheses which we can further test in the simulation. To further investigate model heterogeneity we also conducted more detailed qualitative review for each model in S1 Text.</w:t>
      </w:r>
    </w:p>
    <w:p w:rsidR="00043ECF" w:rsidRDefault="00043ECF" w:rsidP="00043ECF">
      <w:pPr>
        <w:widowControl w:val="0"/>
        <w:spacing w:after="0" w:line="240" w:lineRule="auto"/>
        <w:rPr>
          <w:rFonts w:ascii="Adobe Garamond Pro" w:hAnsi="Adobe Garamond Pro"/>
        </w:rPr>
      </w:pPr>
    </w:p>
    <w:p w:rsidR="00043ECF" w:rsidRDefault="00043ECF" w:rsidP="00043ECF">
      <w:pPr>
        <w:widowControl w:val="0"/>
        <w:spacing w:after="0" w:line="240" w:lineRule="auto"/>
        <w:rPr>
          <w:rFonts w:ascii="Adobe Garamond Pro" w:hAnsi="Adobe Garamond Pro"/>
        </w:rPr>
      </w:pPr>
    </w:p>
    <w:p w:rsidR="00043ECF" w:rsidRDefault="00043ECF" w:rsidP="00043ECF">
      <w:pPr>
        <w:widowControl w:val="0"/>
        <w:spacing w:after="0" w:line="240" w:lineRule="auto"/>
        <w:rPr>
          <w:rFonts w:ascii="Adobe Garamond Pro" w:hAnsi="Adobe Garamond Pro"/>
        </w:rPr>
      </w:pPr>
    </w:p>
    <w:p w:rsidR="00043ECF" w:rsidRDefault="00043ECF" w:rsidP="00043ECF">
      <w:pPr>
        <w:widowControl w:val="0"/>
        <w:spacing w:after="0" w:line="240" w:lineRule="auto"/>
        <w:rPr>
          <w:rFonts w:ascii="Adobe Garamond Pro" w:hAnsi="Adobe Garamond Pro"/>
        </w:rPr>
      </w:pPr>
    </w:p>
    <w:p w:rsidR="00043ECF" w:rsidRDefault="00043ECF" w:rsidP="00043ECF">
      <w:pPr>
        <w:widowControl w:val="0"/>
        <w:spacing w:after="0" w:line="240" w:lineRule="auto"/>
        <w:rPr>
          <w:rFonts w:ascii="Adobe Garamond Pro" w:hAnsi="Adobe Garamond Pro"/>
        </w:rPr>
      </w:pPr>
    </w:p>
    <w:p w:rsidR="00043ECF" w:rsidRPr="00151327" w:rsidRDefault="00043ECF" w:rsidP="00043ECF">
      <w:pPr>
        <w:widowControl w:val="0"/>
        <w:spacing w:after="0" w:line="240" w:lineRule="auto"/>
        <w:rPr>
          <w:rFonts w:ascii="Adobe Garamond Pro" w:hAnsi="Adobe Garamond Pro"/>
        </w:rPr>
      </w:pPr>
      <w:r>
        <w:rPr>
          <w:rFonts w:ascii="Adobe Garamond Pro" w:hAnsi="Adobe Garamond Pro"/>
        </w:rPr>
        <w:lastRenderedPageBreak/>
        <w:t xml:space="preserve">Table A. </w:t>
      </w:r>
      <w:r w:rsidRPr="001E7D52">
        <w:rPr>
          <w:rFonts w:ascii="Adobe Garamond Pro" w:hAnsi="Adobe Garamond Pro"/>
        </w:rPr>
        <w:t>Regression Results comparing CDC model performance to a constant model.</w:t>
      </w:r>
    </w:p>
    <w:tbl>
      <w:tblPr>
        <w:tblW w:w="5000" w:type="pct"/>
        <w:jc w:val="center"/>
        <w:tblCellMar>
          <w:left w:w="75" w:type="dxa"/>
          <w:right w:w="75" w:type="dxa"/>
        </w:tblCellMar>
        <w:tblLook w:val="0000" w:firstRow="0" w:lastRow="0" w:firstColumn="0" w:lastColumn="0" w:noHBand="0" w:noVBand="0"/>
      </w:tblPr>
      <w:tblGrid>
        <w:gridCol w:w="1450"/>
        <w:gridCol w:w="1133"/>
        <w:gridCol w:w="1207"/>
        <w:gridCol w:w="1091"/>
        <w:gridCol w:w="1091"/>
        <w:gridCol w:w="1091"/>
        <w:gridCol w:w="1207"/>
        <w:gridCol w:w="1090"/>
      </w:tblGrid>
      <w:tr w:rsidR="00043ECF" w:rsidRPr="003041D7" w:rsidTr="00802EB1">
        <w:trPr>
          <w:jc w:val="center"/>
        </w:trPr>
        <w:tc>
          <w:tcPr>
            <w:tcW w:w="774"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60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w:t>
            </w:r>
          </w:p>
        </w:tc>
        <w:tc>
          <w:tcPr>
            <w:tcW w:w="64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w:t>
            </w:r>
          </w:p>
        </w:tc>
        <w:tc>
          <w:tcPr>
            <w:tcW w:w="583"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(3)</w:t>
            </w:r>
          </w:p>
        </w:tc>
        <w:tc>
          <w:tcPr>
            <w:tcW w:w="583"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(4)</w:t>
            </w:r>
          </w:p>
        </w:tc>
        <w:tc>
          <w:tcPr>
            <w:tcW w:w="583"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(5)</w:t>
            </w:r>
          </w:p>
        </w:tc>
        <w:tc>
          <w:tcPr>
            <w:tcW w:w="64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(6)</w:t>
            </w:r>
          </w:p>
        </w:tc>
        <w:tc>
          <w:tcPr>
            <w:tcW w:w="583"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(7)</w:t>
            </w:r>
          </w:p>
        </w:tc>
      </w:tr>
      <w:tr w:rsidR="00043ECF" w:rsidRPr="003041D7" w:rsidTr="00802EB1">
        <w:trPr>
          <w:jc w:val="center"/>
        </w:trPr>
        <w:tc>
          <w:tcPr>
            <w:tcW w:w="774"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Outcome:</w:t>
            </w:r>
          </w:p>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Log(normalized absolute error)</w:t>
            </w:r>
          </w:p>
        </w:tc>
        <w:tc>
          <w:tcPr>
            <w:tcW w:w="60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1</w:t>
            </w:r>
          </w:p>
        </w:tc>
        <w:tc>
          <w:tcPr>
            <w:tcW w:w="64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2</w:t>
            </w:r>
          </w:p>
        </w:tc>
        <w:tc>
          <w:tcPr>
            <w:tcW w:w="583"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3</w:t>
            </w:r>
          </w:p>
        </w:tc>
        <w:tc>
          <w:tcPr>
            <w:tcW w:w="583"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4</w:t>
            </w:r>
          </w:p>
        </w:tc>
        <w:tc>
          <w:tcPr>
            <w:tcW w:w="583"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5</w:t>
            </w:r>
          </w:p>
        </w:tc>
        <w:tc>
          <w:tcPr>
            <w:tcW w:w="64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6</w:t>
            </w:r>
          </w:p>
        </w:tc>
        <w:tc>
          <w:tcPr>
            <w:tcW w:w="583"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7</w:t>
            </w: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Ensemble</w:t>
            </w: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0.125***</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-0.00640</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-0.0581**</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-0.0449*</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0.0457</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0.0808**</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(0.0170)</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(0.0176)</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(0.0182)</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(0.0186)</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(0.0275)</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(0.0270)</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Non-mechanistic</w:t>
            </w: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0.141***</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0.0350**</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0.000288</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-0.00241</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-0.00914</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-0.0298</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0.0170</w:t>
            </w: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(0.0113)</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(0.0118)</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(0.0122)</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(0.0125)</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(0.0179)</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(0.0176)</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(0.0181)</w:t>
            </w: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Mechanistic with state-resetting</w:t>
            </w: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0.0544***</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-0.0751***</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-0.136***</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-0.174***</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-0.171***</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-0.184***</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-0.105***</w:t>
            </w: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(0.0126)</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(0.0130)</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(0.0134)</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(0.0136)</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(0.0147)</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(0.0143)</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(0.0155)</w:t>
            </w: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Mechanistic (excluding state-resetting)</w:t>
            </w: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0.227***</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0.0988***</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0.0214</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-0.00429</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-0.0355**</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-0.0580***</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-0.0415**</w:t>
            </w: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(0.0110)</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(0.0113)</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(0.0116)</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(0.0119)</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(0.0134)</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(0.0135)</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(0.0153)</w:t>
            </w: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Constant</w:t>
            </w: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-12.32***</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-12.02***</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-11.81***</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-11.63***</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-11.51***</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-11.37***</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-11.36***</w:t>
            </w: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(0.00985)</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(0.0101)</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(0.0104)</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(0.0106)</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(0.0108)</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(0.0105)</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(0.0110)</w:t>
            </w: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Observations</w:t>
            </w: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90,453</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86,459</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83,279</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80,676</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38,180</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34,576</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25,398</w:t>
            </w:r>
          </w:p>
        </w:tc>
      </w:tr>
      <w:tr w:rsidR="00043ECF" w:rsidRPr="003041D7" w:rsidTr="00802EB1">
        <w:trPr>
          <w:jc w:val="center"/>
        </w:trPr>
        <w:tc>
          <w:tcPr>
            <w:tcW w:w="77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Within R-squared</w:t>
            </w:r>
          </w:p>
        </w:tc>
        <w:tc>
          <w:tcPr>
            <w:tcW w:w="60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0.007</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0.004</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0.003</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0.004</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0.005</w:t>
            </w:r>
          </w:p>
        </w:tc>
        <w:tc>
          <w:tcPr>
            <w:tcW w:w="64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0.007</w:t>
            </w:r>
          </w:p>
        </w:tc>
        <w:tc>
          <w:tcPr>
            <w:tcW w:w="583"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0.003</w:t>
            </w:r>
          </w:p>
        </w:tc>
      </w:tr>
      <w:tr w:rsidR="00043ECF" w:rsidRPr="003041D7" w:rsidTr="00802EB1">
        <w:tblPrEx>
          <w:tblBorders>
            <w:bottom w:val="single" w:sz="6" w:space="0" w:color="auto"/>
          </w:tblBorders>
        </w:tblPrEx>
        <w:trPr>
          <w:jc w:val="center"/>
        </w:trPr>
        <w:tc>
          <w:tcPr>
            <w:tcW w:w="774"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 xml:space="preserve">Number of </w:t>
            </w:r>
            <w:r w:rsidRPr="00151327">
              <w:rPr>
                <w:rFonts w:ascii="Adobe Garamond Pro" w:hAnsi="Adobe Garamond Pro"/>
                <w:sz w:val="16"/>
                <w:szCs w:val="16"/>
              </w:rPr>
              <w:t>location-time combination</w:t>
            </w:r>
          </w:p>
        </w:tc>
        <w:tc>
          <w:tcPr>
            <w:tcW w:w="60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2,847</w:t>
            </w:r>
          </w:p>
        </w:tc>
        <w:tc>
          <w:tcPr>
            <w:tcW w:w="64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2,790</w:t>
            </w:r>
          </w:p>
        </w:tc>
        <w:tc>
          <w:tcPr>
            <w:tcW w:w="583"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2,738</w:t>
            </w:r>
          </w:p>
        </w:tc>
        <w:tc>
          <w:tcPr>
            <w:tcW w:w="583"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2,681</w:t>
            </w:r>
          </w:p>
        </w:tc>
        <w:tc>
          <w:tcPr>
            <w:tcW w:w="583"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2,623</w:t>
            </w:r>
          </w:p>
        </w:tc>
        <w:tc>
          <w:tcPr>
            <w:tcW w:w="64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2,566</w:t>
            </w:r>
          </w:p>
        </w:tc>
        <w:tc>
          <w:tcPr>
            <w:tcW w:w="583"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2,331</w:t>
            </w:r>
          </w:p>
        </w:tc>
      </w:tr>
    </w:tbl>
    <w:p w:rsidR="00043ECF" w:rsidRPr="00151327" w:rsidRDefault="00043ECF" w:rsidP="00043ECF">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Standard errors in parentheses</w:t>
      </w:r>
    </w:p>
    <w:p w:rsidR="00043ECF" w:rsidRPr="00151327" w:rsidRDefault="00043ECF" w:rsidP="00043ECF">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 p&lt;0.001, ** p&lt;0.01, * p&lt;0.05</w:t>
      </w:r>
    </w:p>
    <w:p w:rsidR="00043ECF" w:rsidRPr="00151327" w:rsidRDefault="00043ECF" w:rsidP="00043ECF">
      <w:pPr>
        <w:widowControl w:val="0"/>
        <w:autoSpaceDE w:val="0"/>
        <w:autoSpaceDN w:val="0"/>
        <w:adjustRightInd w:val="0"/>
        <w:spacing w:after="0" w:line="240" w:lineRule="auto"/>
        <w:jc w:val="center"/>
        <w:rPr>
          <w:rFonts w:ascii="Adobe Garamond Pro" w:hAnsi="Adobe Garamond Pro" w:cs="Arial"/>
          <w:sz w:val="16"/>
          <w:szCs w:val="16"/>
        </w:rPr>
      </w:pPr>
    </w:p>
    <w:tbl>
      <w:tblPr>
        <w:tblW w:w="5000" w:type="pct"/>
        <w:jc w:val="center"/>
        <w:tblCellMar>
          <w:left w:w="75" w:type="dxa"/>
          <w:right w:w="75" w:type="dxa"/>
        </w:tblCellMar>
        <w:tblLook w:val="0000" w:firstRow="0" w:lastRow="0" w:firstColumn="0" w:lastColumn="0" w:noHBand="0" w:noVBand="0"/>
      </w:tblPr>
      <w:tblGrid>
        <w:gridCol w:w="2115"/>
        <w:gridCol w:w="1024"/>
        <w:gridCol w:w="1024"/>
        <w:gridCol w:w="1058"/>
        <w:gridCol w:w="1024"/>
        <w:gridCol w:w="1069"/>
        <w:gridCol w:w="1024"/>
        <w:gridCol w:w="1022"/>
      </w:tblGrid>
      <w:tr w:rsidR="00043ECF" w:rsidRPr="003041D7" w:rsidTr="00802EB1">
        <w:trPr>
          <w:jc w:val="center"/>
        </w:trPr>
        <w:tc>
          <w:tcPr>
            <w:tcW w:w="1130"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547"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w:t>
            </w:r>
          </w:p>
        </w:tc>
        <w:tc>
          <w:tcPr>
            <w:tcW w:w="547"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w:t>
            </w:r>
          </w:p>
        </w:tc>
        <w:tc>
          <w:tcPr>
            <w:tcW w:w="56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(3)</w:t>
            </w:r>
          </w:p>
        </w:tc>
        <w:tc>
          <w:tcPr>
            <w:tcW w:w="547"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(4)</w:t>
            </w:r>
          </w:p>
        </w:tc>
        <w:tc>
          <w:tcPr>
            <w:tcW w:w="571"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(5)</w:t>
            </w:r>
          </w:p>
        </w:tc>
        <w:tc>
          <w:tcPr>
            <w:tcW w:w="547"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(6)</w:t>
            </w:r>
          </w:p>
        </w:tc>
        <w:tc>
          <w:tcPr>
            <w:tcW w:w="546"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(7)</w:t>
            </w:r>
          </w:p>
        </w:tc>
      </w:tr>
      <w:tr w:rsidR="00043ECF" w:rsidRPr="003041D7" w:rsidTr="00802EB1">
        <w:trPr>
          <w:jc w:val="center"/>
        </w:trPr>
        <w:tc>
          <w:tcPr>
            <w:tcW w:w="1130"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Outcome:</w:t>
            </w:r>
          </w:p>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Log(normalized absolute error)</w:t>
            </w:r>
          </w:p>
        </w:tc>
        <w:tc>
          <w:tcPr>
            <w:tcW w:w="547"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8</w:t>
            </w:r>
          </w:p>
        </w:tc>
        <w:tc>
          <w:tcPr>
            <w:tcW w:w="547"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9</w:t>
            </w:r>
          </w:p>
        </w:tc>
        <w:tc>
          <w:tcPr>
            <w:tcW w:w="56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10</w:t>
            </w:r>
          </w:p>
        </w:tc>
        <w:tc>
          <w:tcPr>
            <w:tcW w:w="547"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11</w:t>
            </w:r>
          </w:p>
        </w:tc>
        <w:tc>
          <w:tcPr>
            <w:tcW w:w="571"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12</w:t>
            </w:r>
          </w:p>
        </w:tc>
        <w:tc>
          <w:tcPr>
            <w:tcW w:w="547"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13</w:t>
            </w:r>
          </w:p>
        </w:tc>
        <w:tc>
          <w:tcPr>
            <w:tcW w:w="54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Week 14</w:t>
            </w: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Non-mechanistic</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0.0292</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0.0629*</w:t>
            </w: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0.107***</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0.0823**</w:t>
            </w: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0.0907***</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0.122***</w:t>
            </w: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0.152***</w:t>
            </w: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(0.0193)</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(0.0251)</w:t>
            </w: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(0.0255)</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(0.0255)</w:t>
            </w: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(0.0262)</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(0.0273)</w:t>
            </w: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(0.0288)</w:t>
            </w: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Mechanistic with state-resetting</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-0.244***</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-0.231***</w:t>
            </w: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-0.177***</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-0.169***</w:t>
            </w: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-0.128***</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-0.120***</w:t>
            </w: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-0.151***</w:t>
            </w: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(0.0179)</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(0.0177)</w:t>
            </w: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(0.0179)</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(0.0185)</w:t>
            </w: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(0.0190)</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(0.0205)</w:t>
            </w: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(0.0220)</w:t>
            </w: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Mechanistic (excluding state-resetting)</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-0.0158</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-0.125***</w:t>
            </w: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-0.0588**</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-0.0352</w:t>
            </w: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-0.00771</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0.0661**</w:t>
            </w: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0.0737**</w:t>
            </w: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(0.0165)</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(0.0202)</w:t>
            </w: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(0.0210)</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(0.0211)</w:t>
            </w: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(0.0231)</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(0.0248)</w:t>
            </w: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(0.0271)</w:t>
            </w: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Constant</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-11.27***</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-11.23***</w:t>
            </w: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-11.22***</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-11.18***</w:t>
            </w: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-11.12***</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-11.12***</w:t>
            </w: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-11.06***</w:t>
            </w: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(0.0120)</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(0.0123)</w:t>
            </w: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(0.0127)</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(0.0129)</w:t>
            </w: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(0.0134)</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(0.0142)</w:t>
            </w: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(0.0153)</w:t>
            </w: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Observations</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21,339</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13,545</w:t>
            </w: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12,534</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11,743</w:t>
            </w: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10,791</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9,709</w:t>
            </w: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8,931</w:t>
            </w:r>
          </w:p>
        </w:tc>
      </w:tr>
      <w:tr w:rsidR="00043ECF" w:rsidRPr="003041D7" w:rsidTr="00802EB1">
        <w:trPr>
          <w:jc w:val="center"/>
        </w:trPr>
        <w:tc>
          <w:tcPr>
            <w:tcW w:w="113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Within R-squared</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0.014</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0.020</w:t>
            </w:r>
          </w:p>
        </w:tc>
        <w:tc>
          <w:tcPr>
            <w:tcW w:w="56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0.015</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0.013</w:t>
            </w:r>
          </w:p>
        </w:tc>
        <w:tc>
          <w:tcPr>
            <w:tcW w:w="57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0.010</w:t>
            </w:r>
          </w:p>
        </w:tc>
        <w:tc>
          <w:tcPr>
            <w:tcW w:w="547"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0.012</w:t>
            </w:r>
          </w:p>
        </w:tc>
        <w:tc>
          <w:tcPr>
            <w:tcW w:w="54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0.018</w:t>
            </w:r>
          </w:p>
        </w:tc>
      </w:tr>
      <w:tr w:rsidR="00043ECF" w:rsidRPr="003041D7" w:rsidTr="00802EB1">
        <w:tblPrEx>
          <w:tblBorders>
            <w:bottom w:val="single" w:sz="6" w:space="0" w:color="auto"/>
          </w:tblBorders>
        </w:tblPrEx>
        <w:trPr>
          <w:jc w:val="center"/>
        </w:trPr>
        <w:tc>
          <w:tcPr>
            <w:tcW w:w="1130"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151327">
              <w:rPr>
                <w:rFonts w:ascii="Adobe Garamond Pro" w:hAnsi="Adobe Garamond Pro" w:cs="Arial"/>
                <w:sz w:val="16"/>
                <w:szCs w:val="16"/>
              </w:rPr>
              <w:t xml:space="preserve">Number of </w:t>
            </w:r>
            <w:r w:rsidRPr="00151327">
              <w:rPr>
                <w:rFonts w:ascii="Adobe Garamond Pro" w:hAnsi="Adobe Garamond Pro"/>
                <w:sz w:val="16"/>
                <w:szCs w:val="16"/>
              </w:rPr>
              <w:t>location-time combination</w:t>
            </w:r>
          </w:p>
        </w:tc>
        <w:tc>
          <w:tcPr>
            <w:tcW w:w="547"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2,273</w:t>
            </w:r>
          </w:p>
        </w:tc>
        <w:tc>
          <w:tcPr>
            <w:tcW w:w="547"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2,195</w:t>
            </w:r>
          </w:p>
        </w:tc>
        <w:tc>
          <w:tcPr>
            <w:tcW w:w="56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2,129</w:t>
            </w:r>
          </w:p>
        </w:tc>
        <w:tc>
          <w:tcPr>
            <w:tcW w:w="547"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1,951</w:t>
            </w:r>
          </w:p>
        </w:tc>
        <w:tc>
          <w:tcPr>
            <w:tcW w:w="571"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1,898</w:t>
            </w:r>
          </w:p>
        </w:tc>
        <w:tc>
          <w:tcPr>
            <w:tcW w:w="547"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1,830</w:t>
            </w:r>
          </w:p>
        </w:tc>
        <w:tc>
          <w:tcPr>
            <w:tcW w:w="54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1,724</w:t>
            </w:r>
          </w:p>
        </w:tc>
      </w:tr>
    </w:tbl>
    <w:p w:rsidR="00043ECF" w:rsidRPr="00151327" w:rsidRDefault="00043ECF" w:rsidP="00043ECF">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Standard errors in parentheses</w:t>
      </w:r>
    </w:p>
    <w:p w:rsidR="00043ECF" w:rsidRPr="00151327" w:rsidRDefault="00043ECF" w:rsidP="00043ECF">
      <w:pPr>
        <w:widowControl w:val="0"/>
        <w:autoSpaceDE w:val="0"/>
        <w:autoSpaceDN w:val="0"/>
        <w:adjustRightInd w:val="0"/>
        <w:spacing w:after="0" w:line="240" w:lineRule="auto"/>
        <w:jc w:val="center"/>
        <w:rPr>
          <w:rFonts w:ascii="Adobe Garamond Pro" w:hAnsi="Adobe Garamond Pro" w:cs="Arial"/>
          <w:sz w:val="16"/>
          <w:szCs w:val="16"/>
        </w:rPr>
      </w:pPr>
      <w:r w:rsidRPr="00151327">
        <w:rPr>
          <w:rFonts w:ascii="Adobe Garamond Pro" w:hAnsi="Adobe Garamond Pro" w:cs="Arial"/>
          <w:sz w:val="16"/>
          <w:szCs w:val="16"/>
        </w:rPr>
        <w:t>*** p&lt;0.001, ** p&lt;0.01, * p&lt;0.05</w:t>
      </w:r>
    </w:p>
    <w:p w:rsidR="00043ECF" w:rsidRDefault="00043ECF" w:rsidP="00043ECF">
      <w:pPr>
        <w:rPr>
          <w:rFonts w:ascii="Adobe Garamond Pro" w:eastAsiaTheme="minorEastAsia" w:hAnsi="Adobe Garamond Pro"/>
          <w:color w:val="222222"/>
        </w:rPr>
      </w:pPr>
    </w:p>
    <w:p w:rsidR="00043ECF" w:rsidRDefault="00043ECF" w:rsidP="00043ECF">
      <w:pPr>
        <w:rPr>
          <w:rFonts w:ascii="Adobe Garamond Pro" w:eastAsiaTheme="minorEastAsia" w:hAnsi="Adobe Garamond Pro"/>
          <w:color w:val="222222"/>
        </w:rPr>
      </w:pPr>
    </w:p>
    <w:p w:rsidR="00043ECF" w:rsidRDefault="00043ECF" w:rsidP="00043ECF">
      <w:pPr>
        <w:rPr>
          <w:rFonts w:ascii="Adobe Garamond Pro" w:eastAsiaTheme="minorEastAsia" w:hAnsi="Adobe Garamond Pro"/>
          <w:color w:val="222222"/>
        </w:rPr>
      </w:pPr>
    </w:p>
    <w:p w:rsidR="00043ECF" w:rsidRDefault="00043ECF" w:rsidP="00043ECF">
      <w:pPr>
        <w:rPr>
          <w:rFonts w:ascii="Adobe Garamond Pro" w:eastAsiaTheme="minorEastAsia" w:hAnsi="Adobe Garamond Pro"/>
          <w:color w:val="222222"/>
        </w:rPr>
      </w:pPr>
    </w:p>
    <w:p w:rsidR="00043ECF" w:rsidRDefault="00043ECF" w:rsidP="00043ECF">
      <w:pPr>
        <w:rPr>
          <w:rFonts w:ascii="Adobe Garamond Pro" w:eastAsiaTheme="minorEastAsia" w:hAnsi="Adobe Garamond Pro"/>
          <w:color w:val="222222"/>
        </w:rPr>
      </w:pPr>
    </w:p>
    <w:p w:rsidR="00043ECF" w:rsidRDefault="00043ECF" w:rsidP="00043ECF">
      <w:pPr>
        <w:rPr>
          <w:rFonts w:ascii="Adobe Garamond Pro" w:eastAsiaTheme="minorEastAsia" w:hAnsi="Adobe Garamond Pro"/>
          <w:color w:val="222222"/>
        </w:rPr>
      </w:pPr>
    </w:p>
    <w:p w:rsidR="00043ECF" w:rsidRDefault="00043ECF" w:rsidP="00043ECF">
      <w:pPr>
        <w:rPr>
          <w:rFonts w:ascii="Adobe Garamond Pro" w:eastAsiaTheme="minorEastAsia" w:hAnsi="Adobe Garamond Pro"/>
          <w:color w:val="222222"/>
        </w:rPr>
      </w:pPr>
    </w:p>
    <w:p w:rsidR="00043ECF" w:rsidRDefault="00043ECF" w:rsidP="00043ECF">
      <w:pPr>
        <w:rPr>
          <w:rFonts w:ascii="Adobe Garamond Pro" w:eastAsiaTheme="minorEastAsia" w:hAnsi="Adobe Garamond Pro"/>
          <w:color w:val="222222"/>
        </w:rPr>
      </w:pPr>
    </w:p>
    <w:p w:rsidR="00043ECF" w:rsidRDefault="00043ECF" w:rsidP="00043ECF">
      <w:pPr>
        <w:rPr>
          <w:rFonts w:ascii="Adobe Garamond Pro" w:eastAsiaTheme="minorEastAsia" w:hAnsi="Adobe Garamond Pro"/>
          <w:color w:val="222222"/>
        </w:rPr>
      </w:pPr>
    </w:p>
    <w:p w:rsidR="00043ECF" w:rsidRDefault="00043ECF" w:rsidP="00043ECF">
      <w:pPr>
        <w:rPr>
          <w:rFonts w:ascii="Adobe Garamond Pro" w:eastAsiaTheme="minorEastAsia" w:hAnsi="Adobe Garamond Pro"/>
          <w:color w:val="222222"/>
        </w:rPr>
      </w:pPr>
    </w:p>
    <w:p w:rsidR="00043ECF" w:rsidRDefault="00043ECF" w:rsidP="00043ECF">
      <w:pPr>
        <w:rPr>
          <w:rFonts w:ascii="Adobe Garamond Pro" w:eastAsiaTheme="minorEastAsia" w:hAnsi="Adobe Garamond Pro"/>
          <w:color w:val="222222"/>
        </w:rPr>
      </w:pPr>
      <w:r>
        <w:rPr>
          <w:rFonts w:ascii="Adobe Garamond Pro" w:eastAsiaTheme="minorEastAsia" w:hAnsi="Adobe Garamond Pro"/>
          <w:color w:val="222222"/>
        </w:rPr>
        <w:lastRenderedPageBreak/>
        <w:t xml:space="preserve">Table B. </w:t>
      </w:r>
      <w:r w:rsidRPr="001E7D52">
        <w:rPr>
          <w:rFonts w:ascii="Adobe Garamond Pro" w:eastAsiaTheme="minorEastAsia" w:hAnsi="Adobe Garamond Pro"/>
          <w:color w:val="222222"/>
        </w:rPr>
        <w:t>Regression Results comparing CDC model performance to a constant model, controlling for model documentation and affiliation.</w:t>
      </w:r>
    </w:p>
    <w:tbl>
      <w:tblPr>
        <w:tblW w:w="5000" w:type="pct"/>
        <w:jc w:val="center"/>
        <w:tblCellMar>
          <w:left w:w="75" w:type="dxa"/>
          <w:right w:w="75" w:type="dxa"/>
        </w:tblCellMar>
        <w:tblLook w:val="0000" w:firstRow="0" w:lastRow="0" w:firstColumn="0" w:lastColumn="0" w:noHBand="0" w:noVBand="0"/>
      </w:tblPr>
      <w:tblGrid>
        <w:gridCol w:w="2918"/>
        <w:gridCol w:w="985"/>
        <w:gridCol w:w="985"/>
        <w:gridCol w:w="900"/>
        <w:gridCol w:w="891"/>
        <w:gridCol w:w="891"/>
        <w:gridCol w:w="891"/>
        <w:gridCol w:w="899"/>
      </w:tblGrid>
      <w:tr w:rsidR="00043ECF" w:rsidRPr="007A0BB3" w:rsidTr="00802EB1">
        <w:trPr>
          <w:jc w:val="center"/>
        </w:trPr>
        <w:tc>
          <w:tcPr>
            <w:tcW w:w="1559"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p>
        </w:tc>
        <w:tc>
          <w:tcPr>
            <w:tcW w:w="526"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(1)</w:t>
            </w:r>
          </w:p>
        </w:tc>
        <w:tc>
          <w:tcPr>
            <w:tcW w:w="526"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(2)</w:t>
            </w:r>
          </w:p>
        </w:tc>
        <w:tc>
          <w:tcPr>
            <w:tcW w:w="481"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(3)</w:t>
            </w:r>
          </w:p>
        </w:tc>
        <w:tc>
          <w:tcPr>
            <w:tcW w:w="476"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(4)</w:t>
            </w:r>
          </w:p>
        </w:tc>
        <w:tc>
          <w:tcPr>
            <w:tcW w:w="476"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(5)</w:t>
            </w:r>
          </w:p>
        </w:tc>
        <w:tc>
          <w:tcPr>
            <w:tcW w:w="476"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(6)</w:t>
            </w:r>
          </w:p>
        </w:tc>
        <w:tc>
          <w:tcPr>
            <w:tcW w:w="480"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(7)</w:t>
            </w:r>
          </w:p>
        </w:tc>
      </w:tr>
      <w:tr w:rsidR="00043ECF" w:rsidRPr="007A0BB3" w:rsidTr="00802EB1">
        <w:trPr>
          <w:jc w:val="center"/>
        </w:trPr>
        <w:tc>
          <w:tcPr>
            <w:tcW w:w="1559" w:type="pct"/>
            <w:tcBorders>
              <w:top w:val="nil"/>
              <w:left w:val="nil"/>
              <w:bottom w:val="single" w:sz="6" w:space="0" w:color="auto"/>
              <w:right w:val="nil"/>
            </w:tcBorders>
          </w:tcPr>
          <w:p w:rsidR="00043ECF" w:rsidRPr="00A27D6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A27D67">
              <w:rPr>
                <w:rFonts w:ascii="Adobe Garamond Pro" w:hAnsi="Adobe Garamond Pro" w:cs="Arial"/>
                <w:sz w:val="16"/>
                <w:szCs w:val="16"/>
              </w:rPr>
              <w:t>Outcome:</w:t>
            </w:r>
          </w:p>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sidRPr="00A27D67">
              <w:rPr>
                <w:rFonts w:ascii="Adobe Garamond Pro" w:hAnsi="Adobe Garamond Pro" w:cs="Arial"/>
                <w:sz w:val="16"/>
                <w:szCs w:val="16"/>
              </w:rPr>
              <w:t>Log(normalized absolute error)</w:t>
            </w:r>
          </w:p>
        </w:tc>
        <w:tc>
          <w:tcPr>
            <w:tcW w:w="52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Week 1</w:t>
            </w:r>
          </w:p>
        </w:tc>
        <w:tc>
          <w:tcPr>
            <w:tcW w:w="52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Week 2</w:t>
            </w:r>
          </w:p>
        </w:tc>
        <w:tc>
          <w:tcPr>
            <w:tcW w:w="481"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Week 3</w:t>
            </w:r>
          </w:p>
        </w:tc>
        <w:tc>
          <w:tcPr>
            <w:tcW w:w="47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Week 4</w:t>
            </w:r>
          </w:p>
        </w:tc>
        <w:tc>
          <w:tcPr>
            <w:tcW w:w="47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Week 5</w:t>
            </w:r>
          </w:p>
        </w:tc>
        <w:tc>
          <w:tcPr>
            <w:tcW w:w="47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Week 6</w:t>
            </w:r>
          </w:p>
        </w:tc>
        <w:tc>
          <w:tcPr>
            <w:tcW w:w="480"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Week 7</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sidRPr="00A27D67">
              <w:rPr>
                <w:rFonts w:ascii="Adobe Garamond Pro" w:hAnsi="Adobe Garamond Pro" w:cs="Arial"/>
                <w:sz w:val="16"/>
                <w:szCs w:val="16"/>
              </w:rPr>
              <w:t>Ensemble</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-0.0571***</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-0.0667***</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-0.0464**</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-0.0151</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-0.237***</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0.0167</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(0.0156)</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(0.0162)</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(0.0168)</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(0.0172)</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(0.0413)</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(0.0456)</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sidRPr="00A27D67">
              <w:rPr>
                <w:rFonts w:ascii="Adobe Garamond Pro" w:hAnsi="Adobe Garamond Pro" w:cs="Arial"/>
                <w:sz w:val="16"/>
                <w:szCs w:val="16"/>
              </w:rPr>
              <w:t>Non-mechanistic</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-0.0564***</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-0.0356***</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0.00495</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0.0254**</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0.0356*</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0.0342*</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0.107***</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(0.00766)</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(0.00823)</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(0.00859)</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(0.00879)</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(0.0170)</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(0.0172)</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(0.0200)</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sidRPr="00A27D67">
              <w:rPr>
                <w:rFonts w:ascii="Adobe Garamond Pro" w:hAnsi="Adobe Garamond Pro" w:cs="Arial"/>
                <w:sz w:val="16"/>
                <w:szCs w:val="16"/>
              </w:rPr>
              <w:t>Mechanistic with state-resetting</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-0.217***</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-0.225***</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-0.203***</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-0.212***</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-0.176***</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-0.177***</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-0.0473**</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(0.0103)</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(0.0107)</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(0.0111)</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(0.0113)</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(0.0140)</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(0.0141)</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(0.0161)</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sidRPr="00151327">
              <w:rPr>
                <w:rFonts w:ascii="Adobe Garamond Pro" w:hAnsi="Adobe Garamond Pro" w:cs="Adobe Devanagari"/>
                <w:sz w:val="16"/>
                <w:szCs w:val="16"/>
              </w:rPr>
              <w:t>Academia</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0.00394</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0.0131</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0.0204</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0.0343*</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0.285***</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0.0728</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0.125**</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(0.0121)</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(0.0126)</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(0.0134)</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(0.0138)</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(0.0372)</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(0.0409)</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(0.0440)</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sidRPr="00151327">
              <w:rPr>
                <w:rFonts w:ascii="Adobe Garamond Pro" w:hAnsi="Adobe Garamond Pro" w:cs="Adobe Devanagari"/>
                <w:sz w:val="16"/>
                <w:szCs w:val="16"/>
              </w:rPr>
              <w:t>Model</w:t>
            </w:r>
            <w:r>
              <w:rPr>
                <w:rFonts w:ascii="Adobe Garamond Pro" w:hAnsi="Adobe Garamond Pro" w:cs="Adobe Devanagari"/>
                <w:sz w:val="16"/>
                <w:szCs w:val="16"/>
              </w:rPr>
              <w:t xml:space="preserve"> </w:t>
            </w:r>
            <w:r w:rsidRPr="00151327">
              <w:rPr>
                <w:rFonts w:ascii="Adobe Garamond Pro" w:hAnsi="Adobe Garamond Pro" w:cs="Adobe Devanagari"/>
                <w:sz w:val="16"/>
                <w:szCs w:val="16"/>
              </w:rPr>
              <w:t>documentation</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0.183***</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0.192***</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0.175***</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0.172***</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0.159***</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0.195***</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0.348***</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(0.0128)</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(0.0134)</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(0.0138)</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(0.0141)</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(0.0196)</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(0.0194)</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(0.0250)</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Pr>
                <w:rFonts w:ascii="Adobe Garamond Pro" w:hAnsi="Adobe Garamond Pro" w:cs="Adobe Devanagari"/>
                <w:sz w:val="16"/>
                <w:szCs w:val="16"/>
              </w:rPr>
              <w:t>Academia*</w:t>
            </w:r>
            <w:r w:rsidRPr="00151327">
              <w:rPr>
                <w:rFonts w:ascii="Adobe Garamond Pro" w:hAnsi="Adobe Garamond Pro" w:cs="Adobe Devanagari"/>
                <w:sz w:val="16"/>
                <w:szCs w:val="16"/>
              </w:rPr>
              <w:t>Model</w:t>
            </w:r>
            <w:r>
              <w:rPr>
                <w:rFonts w:ascii="Adobe Garamond Pro" w:hAnsi="Adobe Garamond Pro" w:cs="Adobe Devanagari"/>
                <w:sz w:val="16"/>
                <w:szCs w:val="16"/>
              </w:rPr>
              <w:t xml:space="preserve"> </w:t>
            </w:r>
            <w:r w:rsidRPr="00151327">
              <w:rPr>
                <w:rFonts w:ascii="Adobe Garamond Pro" w:hAnsi="Adobe Garamond Pro" w:cs="Adobe Devanagari"/>
                <w:sz w:val="16"/>
                <w:szCs w:val="16"/>
              </w:rPr>
              <w:t>documentation</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-0.0864***</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-0.121***</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-0.117***</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-0.127***</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-0.553***</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-0.376***</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-0.524***</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(0.0156)</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(0.0162)</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(0.0170)</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(0.0174)</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(0.0400)</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(0.0438)</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(0.0482)</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sidRPr="00151327">
              <w:rPr>
                <w:rFonts w:ascii="Adobe Garamond Pro" w:hAnsi="Adobe Garamond Pro" w:cs="Adobe Devanagari"/>
                <w:sz w:val="16"/>
                <w:szCs w:val="16"/>
              </w:rPr>
              <w:t>Constant</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-12.18***</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-12.00***</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-11.85***</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-11.71***</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-11.51***</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-11.39***</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-11.47***</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(0.00976)</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(0.0102)</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(0.0107)</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(0.0109)</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(0.0156)</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(0.0156)</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(0.0235)</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sidRPr="00151327">
              <w:rPr>
                <w:rFonts w:ascii="Adobe Garamond Pro" w:hAnsi="Adobe Garamond Pro" w:cs="Adobe Devanagari"/>
                <w:sz w:val="16"/>
                <w:szCs w:val="16"/>
              </w:rPr>
              <w:t>Observations</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81,754</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77,803</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74,725</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72,336</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30,273</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26,858</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18,678</w:t>
            </w:r>
          </w:p>
        </w:tc>
      </w:tr>
      <w:tr w:rsidR="00043ECF" w:rsidRPr="007A0BB3" w:rsidTr="00802EB1">
        <w:trPr>
          <w:jc w:val="center"/>
        </w:trPr>
        <w:tc>
          <w:tcPr>
            <w:tcW w:w="1559"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sidRPr="00A27D67">
              <w:rPr>
                <w:rFonts w:ascii="Adobe Garamond Pro" w:hAnsi="Adobe Garamond Pro" w:cs="Arial"/>
                <w:sz w:val="16"/>
                <w:szCs w:val="16"/>
              </w:rPr>
              <w:t>Within R-squared</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0.008</w:t>
            </w:r>
          </w:p>
        </w:tc>
        <w:tc>
          <w:tcPr>
            <w:tcW w:w="52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0.008</w:t>
            </w:r>
          </w:p>
        </w:tc>
        <w:tc>
          <w:tcPr>
            <w:tcW w:w="481"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0.006</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0.007</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0.019</w:t>
            </w:r>
          </w:p>
        </w:tc>
        <w:tc>
          <w:tcPr>
            <w:tcW w:w="476"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0.021</w:t>
            </w:r>
          </w:p>
        </w:tc>
        <w:tc>
          <w:tcPr>
            <w:tcW w:w="480"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0.033</w:t>
            </w:r>
          </w:p>
        </w:tc>
      </w:tr>
      <w:tr w:rsidR="00043ECF" w:rsidRPr="007A0BB3" w:rsidTr="00802EB1">
        <w:tblPrEx>
          <w:tblBorders>
            <w:bottom w:val="single" w:sz="6" w:space="0" w:color="auto"/>
          </w:tblBorders>
        </w:tblPrEx>
        <w:trPr>
          <w:jc w:val="center"/>
        </w:trPr>
        <w:tc>
          <w:tcPr>
            <w:tcW w:w="1559"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Adobe Devanagari"/>
                <w:sz w:val="16"/>
                <w:szCs w:val="16"/>
              </w:rPr>
            </w:pPr>
            <w:r w:rsidRPr="00A27D67">
              <w:rPr>
                <w:rFonts w:ascii="Adobe Garamond Pro" w:hAnsi="Adobe Garamond Pro" w:cs="Arial"/>
                <w:sz w:val="16"/>
                <w:szCs w:val="16"/>
              </w:rPr>
              <w:t xml:space="preserve">Number of </w:t>
            </w:r>
            <w:r w:rsidRPr="00A27D67">
              <w:rPr>
                <w:rFonts w:ascii="Adobe Garamond Pro" w:hAnsi="Adobe Garamond Pro"/>
                <w:sz w:val="16"/>
                <w:szCs w:val="16"/>
              </w:rPr>
              <w:t>location-time combination</w:t>
            </w:r>
          </w:p>
        </w:tc>
        <w:tc>
          <w:tcPr>
            <w:tcW w:w="52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2,843</w:t>
            </w:r>
          </w:p>
        </w:tc>
        <w:tc>
          <w:tcPr>
            <w:tcW w:w="52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2,787</w:t>
            </w:r>
          </w:p>
        </w:tc>
        <w:tc>
          <w:tcPr>
            <w:tcW w:w="481"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2,736</w:t>
            </w:r>
          </w:p>
        </w:tc>
        <w:tc>
          <w:tcPr>
            <w:tcW w:w="47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2,679</w:t>
            </w:r>
          </w:p>
        </w:tc>
        <w:tc>
          <w:tcPr>
            <w:tcW w:w="47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2,621</w:t>
            </w:r>
          </w:p>
        </w:tc>
        <w:tc>
          <w:tcPr>
            <w:tcW w:w="476"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2,565</w:t>
            </w:r>
          </w:p>
        </w:tc>
        <w:tc>
          <w:tcPr>
            <w:tcW w:w="480"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Adobe Devanagari"/>
                <w:sz w:val="16"/>
                <w:szCs w:val="16"/>
              </w:rPr>
            </w:pPr>
            <w:r w:rsidRPr="00151327">
              <w:rPr>
                <w:rFonts w:ascii="Adobe Garamond Pro" w:hAnsi="Adobe Garamond Pro" w:cs="Adobe Devanagari"/>
                <w:sz w:val="16"/>
                <w:szCs w:val="16"/>
              </w:rPr>
              <w:t>2,328</w:t>
            </w:r>
          </w:p>
        </w:tc>
      </w:tr>
    </w:tbl>
    <w:p w:rsidR="00043ECF" w:rsidRPr="00A27D67" w:rsidRDefault="00043ECF" w:rsidP="00043ECF">
      <w:pPr>
        <w:widowControl w:val="0"/>
        <w:autoSpaceDE w:val="0"/>
        <w:autoSpaceDN w:val="0"/>
        <w:adjustRightInd w:val="0"/>
        <w:spacing w:after="0" w:line="240" w:lineRule="auto"/>
        <w:jc w:val="center"/>
        <w:rPr>
          <w:rFonts w:ascii="Adobe Garamond Pro" w:hAnsi="Adobe Garamond Pro" w:cs="Arial"/>
          <w:sz w:val="16"/>
          <w:szCs w:val="16"/>
        </w:rPr>
      </w:pPr>
      <w:r w:rsidRPr="00A27D67">
        <w:rPr>
          <w:rFonts w:ascii="Adobe Garamond Pro" w:hAnsi="Adobe Garamond Pro" w:cs="Arial"/>
          <w:sz w:val="16"/>
          <w:szCs w:val="16"/>
        </w:rPr>
        <w:t>Standard errors in parentheses</w:t>
      </w:r>
    </w:p>
    <w:p w:rsidR="00043ECF" w:rsidRPr="00A27D67" w:rsidRDefault="00043ECF" w:rsidP="00043ECF">
      <w:pPr>
        <w:widowControl w:val="0"/>
        <w:autoSpaceDE w:val="0"/>
        <w:autoSpaceDN w:val="0"/>
        <w:adjustRightInd w:val="0"/>
        <w:spacing w:after="0" w:line="240" w:lineRule="auto"/>
        <w:jc w:val="center"/>
        <w:rPr>
          <w:rFonts w:ascii="Adobe Garamond Pro" w:hAnsi="Adobe Garamond Pro" w:cs="Arial"/>
          <w:sz w:val="16"/>
          <w:szCs w:val="16"/>
        </w:rPr>
      </w:pPr>
      <w:r w:rsidRPr="00A27D67">
        <w:rPr>
          <w:rFonts w:ascii="Adobe Garamond Pro" w:hAnsi="Adobe Garamond Pro" w:cs="Arial"/>
          <w:sz w:val="16"/>
          <w:szCs w:val="16"/>
        </w:rPr>
        <w:t>*** p&lt;0.001, ** p&lt;0.01, * p&lt;0.05</w:t>
      </w:r>
    </w:p>
    <w:tbl>
      <w:tblPr>
        <w:tblW w:w="5000" w:type="pct"/>
        <w:jc w:val="center"/>
        <w:tblCellMar>
          <w:left w:w="75" w:type="dxa"/>
          <w:right w:w="75" w:type="dxa"/>
        </w:tblCellMar>
        <w:tblLook w:val="0000" w:firstRow="0" w:lastRow="0" w:firstColumn="0" w:lastColumn="0" w:noHBand="0" w:noVBand="0"/>
      </w:tblPr>
      <w:tblGrid>
        <w:gridCol w:w="2871"/>
        <w:gridCol w:w="927"/>
        <w:gridCol w:w="927"/>
        <w:gridCol w:w="927"/>
        <w:gridCol w:w="927"/>
        <w:gridCol w:w="927"/>
        <w:gridCol w:w="927"/>
        <w:gridCol w:w="927"/>
      </w:tblGrid>
      <w:tr w:rsidR="00043ECF" w:rsidRPr="007A0BB3" w:rsidTr="00802EB1">
        <w:trPr>
          <w:jc w:val="center"/>
        </w:trPr>
        <w:tc>
          <w:tcPr>
            <w:tcW w:w="1534"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p>
        </w:tc>
        <w:tc>
          <w:tcPr>
            <w:tcW w:w="49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w:t>
            </w:r>
          </w:p>
        </w:tc>
        <w:tc>
          <w:tcPr>
            <w:tcW w:w="49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(2)</w:t>
            </w:r>
          </w:p>
        </w:tc>
        <w:tc>
          <w:tcPr>
            <w:tcW w:w="49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(3)</w:t>
            </w:r>
          </w:p>
        </w:tc>
        <w:tc>
          <w:tcPr>
            <w:tcW w:w="49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(4)</w:t>
            </w:r>
          </w:p>
        </w:tc>
        <w:tc>
          <w:tcPr>
            <w:tcW w:w="49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(5)</w:t>
            </w:r>
          </w:p>
        </w:tc>
        <w:tc>
          <w:tcPr>
            <w:tcW w:w="49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(6)</w:t>
            </w:r>
          </w:p>
        </w:tc>
        <w:tc>
          <w:tcPr>
            <w:tcW w:w="495" w:type="pct"/>
            <w:tcBorders>
              <w:top w:val="single" w:sz="6" w:space="0" w:color="auto"/>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(7)</w:t>
            </w:r>
          </w:p>
        </w:tc>
      </w:tr>
      <w:tr w:rsidR="00043ECF" w:rsidRPr="007A0BB3" w:rsidTr="00802EB1">
        <w:trPr>
          <w:jc w:val="center"/>
        </w:trPr>
        <w:tc>
          <w:tcPr>
            <w:tcW w:w="1534" w:type="pct"/>
            <w:tcBorders>
              <w:top w:val="nil"/>
              <w:left w:val="nil"/>
              <w:bottom w:val="single" w:sz="6" w:space="0" w:color="auto"/>
              <w:right w:val="nil"/>
            </w:tcBorders>
          </w:tcPr>
          <w:p w:rsidR="00043ECF" w:rsidRPr="00A27D67" w:rsidRDefault="00043ECF" w:rsidP="00802EB1">
            <w:pPr>
              <w:widowControl w:val="0"/>
              <w:autoSpaceDE w:val="0"/>
              <w:autoSpaceDN w:val="0"/>
              <w:adjustRightInd w:val="0"/>
              <w:spacing w:after="0" w:line="240" w:lineRule="auto"/>
              <w:rPr>
                <w:rFonts w:ascii="Adobe Garamond Pro" w:hAnsi="Adobe Garamond Pro" w:cs="Arial"/>
                <w:sz w:val="16"/>
                <w:szCs w:val="16"/>
              </w:rPr>
            </w:pPr>
            <w:r w:rsidRPr="00A27D67">
              <w:rPr>
                <w:rFonts w:ascii="Adobe Garamond Pro" w:hAnsi="Adobe Garamond Pro" w:cs="Arial"/>
                <w:sz w:val="16"/>
                <w:szCs w:val="16"/>
              </w:rPr>
              <w:t>Outcome:</w:t>
            </w:r>
          </w:p>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r w:rsidRPr="00A27D67">
              <w:rPr>
                <w:rFonts w:ascii="Adobe Garamond Pro" w:hAnsi="Adobe Garamond Pro" w:cs="Arial"/>
                <w:sz w:val="16"/>
                <w:szCs w:val="16"/>
              </w:rPr>
              <w:t>Log(normalized absolute error)</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Week 8</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Week 9</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Week 10</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Week 11</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Week 12</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Week 13</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Week 14</w:t>
            </w: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r w:rsidRPr="00A27D67">
              <w:rPr>
                <w:rFonts w:ascii="Adobe Garamond Pro" w:hAnsi="Adobe Garamond Pro" w:cs="Arial"/>
                <w:sz w:val="16"/>
                <w:szCs w:val="16"/>
              </w:rPr>
              <w:t>Non-mechanistic</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0.108***</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0.157***</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0.145***</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0.103***</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0.0897**</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0.0625</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0.0771*</w:t>
            </w: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(0.0221)</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(0.0300)</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(0.0305)</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(0.0304)</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(0.0313)</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(0.0329)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(0.0354)</w:t>
            </w: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r w:rsidRPr="00A27D67">
              <w:rPr>
                <w:rFonts w:ascii="Adobe Garamond Pro" w:hAnsi="Adobe Garamond Pro" w:cs="Arial"/>
                <w:sz w:val="16"/>
                <w:szCs w:val="16"/>
              </w:rPr>
              <w:t>Mechanistic with state-resetting</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-0.141***</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-0.127***</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-0.139***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-0.127***</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-0.105***</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-0.169***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-0.218***</w:t>
            </w: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(0.0208)</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(0.0249)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(0.0254)</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(0.0254)</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(0.0266)</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(0.0283)</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(0.0305)</w:t>
            </w: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r w:rsidRPr="00A27D67">
              <w:rPr>
                <w:rFonts w:ascii="Adobe Garamond Pro" w:hAnsi="Adobe Garamond Pro" w:cs="Adobe Devanagari"/>
                <w:sz w:val="16"/>
                <w:szCs w:val="16"/>
              </w:rPr>
              <w:t>Academia</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0.157***</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0.0568</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0.0862</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-0.0232</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-0.0589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-0.289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0.177**</w:t>
            </w: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(0.0474)</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(0.0501)</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(0.0493)</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(0.0510)</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(0.0944)</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(0.172)</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(0.0576)</w:t>
            </w: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r w:rsidRPr="00A27D67">
              <w:rPr>
                <w:rFonts w:ascii="Adobe Garamond Pro" w:hAnsi="Adobe Garamond Pro" w:cs="Adobe Devanagari"/>
                <w:sz w:val="16"/>
                <w:szCs w:val="16"/>
              </w:rPr>
              <w:t>Model</w:t>
            </w:r>
            <w:r>
              <w:rPr>
                <w:rFonts w:ascii="Adobe Garamond Pro" w:hAnsi="Adobe Garamond Pro" w:cs="Adobe Devanagari"/>
                <w:sz w:val="16"/>
                <w:szCs w:val="16"/>
              </w:rPr>
              <w:t xml:space="preserve"> </w:t>
            </w:r>
            <w:r w:rsidRPr="00A27D67">
              <w:rPr>
                <w:rFonts w:ascii="Adobe Garamond Pro" w:hAnsi="Adobe Garamond Pro" w:cs="Adobe Devanagari"/>
                <w:sz w:val="16"/>
                <w:szCs w:val="16"/>
              </w:rPr>
              <w:t>documentation</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0.174***</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-0.0686</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-0.103</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0.112</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0.154</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0.445*</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(0.0319)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(0.0575)</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(0.0570)</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(0.0631)</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(0.104)</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(0.180)</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r w:rsidRPr="00A27D67">
              <w:rPr>
                <w:rFonts w:ascii="Adobe Garamond Pro" w:hAnsi="Adobe Garamond Pro" w:cs="Adobe Devanagari"/>
                <w:sz w:val="16"/>
                <w:szCs w:val="16"/>
              </w:rPr>
              <w:t>Academia*Model</w:t>
            </w:r>
            <w:r>
              <w:rPr>
                <w:rFonts w:ascii="Adobe Garamond Pro" w:hAnsi="Adobe Garamond Pro" w:cs="Adobe Devanagari"/>
                <w:sz w:val="16"/>
                <w:szCs w:val="16"/>
              </w:rPr>
              <w:t xml:space="preserve"> </w:t>
            </w:r>
            <w:r w:rsidRPr="00A27D67">
              <w:rPr>
                <w:rFonts w:ascii="Adobe Garamond Pro" w:hAnsi="Adobe Garamond Pro" w:cs="Adobe Devanagari"/>
                <w:sz w:val="16"/>
                <w:szCs w:val="16"/>
              </w:rPr>
              <w:t>documentation</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-0.321***</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(0.0556)</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r w:rsidRPr="00151327">
              <w:rPr>
                <w:rFonts w:ascii="Adobe Garamond Pro" w:hAnsi="Adobe Garamond Pro" w:cs="Times New Roman"/>
                <w:sz w:val="16"/>
                <w:szCs w:val="16"/>
              </w:rPr>
              <w:t>Constant</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-11.36***</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-11.31***</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-11.22***</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-11.27***</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-11.19***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-11.18***</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-11.12***</w:t>
            </w: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(0.0273)</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(0.0389)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(0.0396)</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(0.0429)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(0.0448)</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(0.0515)</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(0.0607)</w:t>
            </w: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r w:rsidRPr="00151327">
              <w:rPr>
                <w:rFonts w:ascii="Adobe Garamond Pro" w:hAnsi="Adobe Garamond Pro" w:cs="Times New Roman"/>
                <w:sz w:val="16"/>
                <w:szCs w:val="16"/>
              </w:rPr>
              <w:t>Observations</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15,527</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8,883</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8,303</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7,769</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7,097</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6,297</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5,822</w:t>
            </w:r>
          </w:p>
        </w:tc>
      </w:tr>
      <w:tr w:rsidR="00043ECF" w:rsidRPr="007A0BB3" w:rsidTr="00802EB1">
        <w:trPr>
          <w:jc w:val="center"/>
        </w:trPr>
        <w:tc>
          <w:tcPr>
            <w:tcW w:w="1534"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r w:rsidRPr="00A27D67">
              <w:rPr>
                <w:rFonts w:ascii="Adobe Garamond Pro" w:hAnsi="Adobe Garamond Pro" w:cs="Arial"/>
                <w:sz w:val="16"/>
                <w:szCs w:val="16"/>
              </w:rPr>
              <w:t>Within R-squared</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0.018</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0.016</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0.018</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0.016</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0.012</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0.021</w:t>
            </w:r>
          </w:p>
        </w:tc>
        <w:tc>
          <w:tcPr>
            <w:tcW w:w="495" w:type="pct"/>
            <w:tcBorders>
              <w:top w:val="nil"/>
              <w:left w:val="nil"/>
              <w:bottom w:val="nil"/>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0.027</w:t>
            </w:r>
          </w:p>
        </w:tc>
      </w:tr>
      <w:tr w:rsidR="00043ECF" w:rsidRPr="007A0BB3" w:rsidTr="00802EB1">
        <w:tblPrEx>
          <w:tblBorders>
            <w:bottom w:val="single" w:sz="6" w:space="0" w:color="auto"/>
          </w:tblBorders>
        </w:tblPrEx>
        <w:trPr>
          <w:jc w:val="center"/>
        </w:trPr>
        <w:tc>
          <w:tcPr>
            <w:tcW w:w="1534"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rPr>
                <w:rFonts w:ascii="Adobe Garamond Pro" w:hAnsi="Adobe Garamond Pro" w:cs="Times New Roman"/>
                <w:sz w:val="16"/>
                <w:szCs w:val="16"/>
              </w:rPr>
            </w:pPr>
            <w:r w:rsidRPr="00A27D67">
              <w:rPr>
                <w:rFonts w:ascii="Adobe Garamond Pro" w:hAnsi="Adobe Garamond Pro" w:cs="Arial"/>
                <w:sz w:val="16"/>
                <w:szCs w:val="16"/>
              </w:rPr>
              <w:t xml:space="preserve">Number of </w:t>
            </w:r>
            <w:r w:rsidRPr="00A27D67">
              <w:rPr>
                <w:rFonts w:ascii="Adobe Garamond Pro" w:hAnsi="Adobe Garamond Pro"/>
                <w:sz w:val="16"/>
                <w:szCs w:val="16"/>
              </w:rPr>
              <w:t>location-time combination</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2,271</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2,192</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2,128</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1,948</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1,894</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1,825</w:t>
            </w:r>
          </w:p>
        </w:tc>
        <w:tc>
          <w:tcPr>
            <w:tcW w:w="495" w:type="pct"/>
            <w:tcBorders>
              <w:top w:val="nil"/>
              <w:left w:val="nil"/>
              <w:bottom w:val="single" w:sz="6" w:space="0" w:color="auto"/>
              <w:right w:val="nil"/>
            </w:tcBorders>
          </w:tcPr>
          <w:p w:rsidR="00043ECF" w:rsidRPr="00151327" w:rsidRDefault="00043ECF" w:rsidP="00802EB1">
            <w:pPr>
              <w:widowControl w:val="0"/>
              <w:autoSpaceDE w:val="0"/>
              <w:autoSpaceDN w:val="0"/>
              <w:adjustRightInd w:val="0"/>
              <w:spacing w:after="0" w:line="240" w:lineRule="auto"/>
              <w:jc w:val="center"/>
              <w:rPr>
                <w:rFonts w:ascii="Adobe Garamond Pro" w:hAnsi="Adobe Garamond Pro" w:cs="Times New Roman"/>
                <w:sz w:val="16"/>
                <w:szCs w:val="16"/>
              </w:rPr>
            </w:pPr>
            <w:r w:rsidRPr="00151327">
              <w:rPr>
                <w:rFonts w:ascii="Adobe Garamond Pro" w:hAnsi="Adobe Garamond Pro" w:cs="Times New Roman"/>
                <w:sz w:val="16"/>
                <w:szCs w:val="16"/>
              </w:rPr>
              <w:t>1,721</w:t>
            </w:r>
          </w:p>
        </w:tc>
      </w:tr>
    </w:tbl>
    <w:p w:rsidR="00043ECF" w:rsidRPr="00A27D67" w:rsidRDefault="00043ECF" w:rsidP="00043ECF">
      <w:pPr>
        <w:widowControl w:val="0"/>
        <w:autoSpaceDE w:val="0"/>
        <w:autoSpaceDN w:val="0"/>
        <w:adjustRightInd w:val="0"/>
        <w:spacing w:after="0" w:line="240" w:lineRule="auto"/>
        <w:jc w:val="center"/>
        <w:rPr>
          <w:rFonts w:ascii="Adobe Garamond Pro" w:hAnsi="Adobe Garamond Pro" w:cs="Arial"/>
          <w:sz w:val="16"/>
          <w:szCs w:val="16"/>
        </w:rPr>
      </w:pPr>
      <w:r w:rsidRPr="00A27D67">
        <w:rPr>
          <w:rFonts w:ascii="Adobe Garamond Pro" w:hAnsi="Adobe Garamond Pro" w:cs="Arial"/>
          <w:sz w:val="16"/>
          <w:szCs w:val="16"/>
        </w:rPr>
        <w:t>Standard errors in parentheses</w:t>
      </w:r>
    </w:p>
    <w:p w:rsidR="00B30E57" w:rsidRDefault="00043ECF" w:rsidP="00043ECF">
      <w:r w:rsidRPr="00A27D67">
        <w:rPr>
          <w:rFonts w:ascii="Adobe Garamond Pro" w:hAnsi="Adobe Garamond Pro" w:cs="Arial"/>
          <w:sz w:val="16"/>
          <w:szCs w:val="16"/>
        </w:rPr>
        <w:t>*** p&lt;0.001, ** p&lt;0.01, * p&lt;0.05</w:t>
      </w:r>
      <w:bookmarkStart w:id="1" w:name="_GoBack"/>
      <w:bookmarkEnd w:id="1"/>
    </w:p>
    <w:sectPr w:rsidR="00B3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CF"/>
    <w:rsid w:val="0001234F"/>
    <w:rsid w:val="00021B1E"/>
    <w:rsid w:val="00043ECF"/>
    <w:rsid w:val="00062146"/>
    <w:rsid w:val="00074C83"/>
    <w:rsid w:val="00086687"/>
    <w:rsid w:val="000A38E4"/>
    <w:rsid w:val="000B53FE"/>
    <w:rsid w:val="00114F38"/>
    <w:rsid w:val="00144DFD"/>
    <w:rsid w:val="00153885"/>
    <w:rsid w:val="00185682"/>
    <w:rsid w:val="001934CF"/>
    <w:rsid w:val="001B5893"/>
    <w:rsid w:val="001D7677"/>
    <w:rsid w:val="001F30AD"/>
    <w:rsid w:val="00203E5B"/>
    <w:rsid w:val="00216DF0"/>
    <w:rsid w:val="00253F9B"/>
    <w:rsid w:val="002548B3"/>
    <w:rsid w:val="002A322E"/>
    <w:rsid w:val="002A45CC"/>
    <w:rsid w:val="002B1851"/>
    <w:rsid w:val="002C1882"/>
    <w:rsid w:val="0031545E"/>
    <w:rsid w:val="00346B93"/>
    <w:rsid w:val="00357ED7"/>
    <w:rsid w:val="00360D8A"/>
    <w:rsid w:val="003D110F"/>
    <w:rsid w:val="003E4A9C"/>
    <w:rsid w:val="003E5451"/>
    <w:rsid w:val="0041444F"/>
    <w:rsid w:val="00463977"/>
    <w:rsid w:val="004C1127"/>
    <w:rsid w:val="004F47C3"/>
    <w:rsid w:val="00523E92"/>
    <w:rsid w:val="00525487"/>
    <w:rsid w:val="00543D06"/>
    <w:rsid w:val="00552D9A"/>
    <w:rsid w:val="0058040F"/>
    <w:rsid w:val="00580F65"/>
    <w:rsid w:val="00582395"/>
    <w:rsid w:val="005915BF"/>
    <w:rsid w:val="00593DA3"/>
    <w:rsid w:val="005B7EA9"/>
    <w:rsid w:val="005E6CD6"/>
    <w:rsid w:val="005F7C82"/>
    <w:rsid w:val="0060127D"/>
    <w:rsid w:val="006403BC"/>
    <w:rsid w:val="00652E0A"/>
    <w:rsid w:val="00653AD5"/>
    <w:rsid w:val="006813E5"/>
    <w:rsid w:val="006B6FCF"/>
    <w:rsid w:val="006C3B10"/>
    <w:rsid w:val="00724194"/>
    <w:rsid w:val="0073684D"/>
    <w:rsid w:val="00741DAF"/>
    <w:rsid w:val="007D3608"/>
    <w:rsid w:val="007D5E36"/>
    <w:rsid w:val="00800FA2"/>
    <w:rsid w:val="008105F1"/>
    <w:rsid w:val="00856D0A"/>
    <w:rsid w:val="00863016"/>
    <w:rsid w:val="00883C54"/>
    <w:rsid w:val="008A6941"/>
    <w:rsid w:val="008E5963"/>
    <w:rsid w:val="00904953"/>
    <w:rsid w:val="00920542"/>
    <w:rsid w:val="00930C1B"/>
    <w:rsid w:val="00933BEE"/>
    <w:rsid w:val="009D56CF"/>
    <w:rsid w:val="009E6C85"/>
    <w:rsid w:val="00A0088D"/>
    <w:rsid w:val="00A13E0E"/>
    <w:rsid w:val="00A1739B"/>
    <w:rsid w:val="00A17F30"/>
    <w:rsid w:val="00A2586D"/>
    <w:rsid w:val="00A37F76"/>
    <w:rsid w:val="00A851A2"/>
    <w:rsid w:val="00A861A9"/>
    <w:rsid w:val="00A960B2"/>
    <w:rsid w:val="00AB4DDD"/>
    <w:rsid w:val="00B1171B"/>
    <w:rsid w:val="00B13434"/>
    <w:rsid w:val="00B30E57"/>
    <w:rsid w:val="00B441B8"/>
    <w:rsid w:val="00B557F3"/>
    <w:rsid w:val="00B77B4B"/>
    <w:rsid w:val="00B77BF7"/>
    <w:rsid w:val="00BF2073"/>
    <w:rsid w:val="00C42B79"/>
    <w:rsid w:val="00C60DC2"/>
    <w:rsid w:val="00C86F0D"/>
    <w:rsid w:val="00CB7D9B"/>
    <w:rsid w:val="00CE5BBA"/>
    <w:rsid w:val="00CF65BF"/>
    <w:rsid w:val="00D253AE"/>
    <w:rsid w:val="00D350FB"/>
    <w:rsid w:val="00D35A2A"/>
    <w:rsid w:val="00D409E9"/>
    <w:rsid w:val="00D848C2"/>
    <w:rsid w:val="00DE72F5"/>
    <w:rsid w:val="00E01FAE"/>
    <w:rsid w:val="00E51D4C"/>
    <w:rsid w:val="00E901D8"/>
    <w:rsid w:val="00ED3595"/>
    <w:rsid w:val="00EF2FC6"/>
    <w:rsid w:val="00EF3EA2"/>
    <w:rsid w:val="00EF76AF"/>
    <w:rsid w:val="00F01CFD"/>
    <w:rsid w:val="00F06A1F"/>
    <w:rsid w:val="00F30001"/>
    <w:rsid w:val="00F37B0F"/>
    <w:rsid w:val="00F43604"/>
    <w:rsid w:val="00F73375"/>
    <w:rsid w:val="00F764A7"/>
    <w:rsid w:val="00F839C7"/>
    <w:rsid w:val="00F85A0B"/>
    <w:rsid w:val="00FC1EBE"/>
    <w:rsid w:val="00FC24E9"/>
    <w:rsid w:val="00FF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A3E1C-706C-4463-9CE8-E4131C0B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CF"/>
    <w:rPr>
      <w:rFonts w:ascii="Calibri" w:eastAsia="Calibri" w:hAnsi="Calibri" w:cs="Calibri"/>
      <w:lang w:eastAsia="en-US"/>
    </w:rPr>
  </w:style>
  <w:style w:type="paragraph" w:styleId="Heading2">
    <w:name w:val="heading 2"/>
    <w:basedOn w:val="Normal"/>
    <w:next w:val="Normal"/>
    <w:link w:val="Heading2Char"/>
    <w:uiPriority w:val="9"/>
    <w:unhideWhenUsed/>
    <w:qFormat/>
    <w:rsid w:val="00043E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ECF"/>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CONFIGMGR_SS</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Ran</dc:creator>
  <cp:keywords/>
  <dc:description/>
  <cp:lastModifiedBy>Xu, Ran</cp:lastModifiedBy>
  <cp:revision>1</cp:revision>
  <dcterms:created xsi:type="dcterms:W3CDTF">2022-04-15T15:26:00Z</dcterms:created>
  <dcterms:modified xsi:type="dcterms:W3CDTF">2022-04-15T15:28:00Z</dcterms:modified>
</cp:coreProperties>
</file>