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87C" w14:textId="048A6B5B" w:rsidR="00392045" w:rsidRDefault="00DC78D4" w:rsidP="00392045">
      <w:pPr>
        <w:spacing w:before="200" w:after="200" w:line="360" w:lineRule="auto"/>
        <w:rPr>
          <w:b/>
          <w:smallCaps/>
        </w:rPr>
      </w:pPr>
      <w:r>
        <w:rPr>
          <w:b/>
          <w:smallCaps/>
        </w:rPr>
        <w:t xml:space="preserve">S1 Text: </w:t>
      </w:r>
      <w:r w:rsidR="00392045">
        <w:rPr>
          <w:b/>
          <w:smallCaps/>
        </w:rPr>
        <w:t>Mood and behaviour questionnaires</w:t>
      </w:r>
    </w:p>
    <w:p w14:paraId="599A4F92" w14:textId="69AE1924" w:rsidR="00392045" w:rsidRDefault="00392045" w:rsidP="00392045">
      <w:pPr>
        <w:spacing w:before="200" w:after="200" w:line="360" w:lineRule="auto"/>
      </w:pPr>
      <w:r>
        <w:t xml:space="preserve">All participants completed the following set of self-report questionnaires that assessed mood and various behavioural symptoms: Apathy Scale </w:t>
      </w:r>
      <w:r>
        <w:fldChar w:fldCharType="begin"/>
      </w:r>
      <w:r w:rsidR="00B40560">
        <w:instrText xml:space="preserve"> ADDIN ZOTERO_ITEM CSL_CITATION {"citationID":"w5qmeOlI","properties":{"formattedCitation":"[1]","plainCitation":"[1]","noteIndex":0},"citationItems":[{"id":311,"uris":["http://zotero.org/users/local/0NRHsP7Q/items/JIE3XR43"],"uri":["http://zotero.org/users/local/0NRHsP7Q/items/JIE3XR43"],"itemData":{"id":311,"type":"article-journal","abstract":"The authors examined a consecutive series of 50 patients for the presence of apathy, depression, anxiety, and neuropsychological deficits using a neuropsychological battery that included a recently designed apathy scale. This scale was found to be reliable and valid in the diagnosis of apathy in patients with PD. Of patients in the study, 12% showed apathy as their primary psychiatric problem, and 30% were both apathetic and depressed. Patients with apathy (with or without depression), showed significantly more deficits in both tasks of verbal memory and time-dependent tasks. Results suggest that apathy is a frequent finding in PD, is significantly associated with specific cognitive impairments, and may have a different mechanism than depression.","container-title":"The Journal of Neuropsychiatry and Clinical Neurosciences","DOI":"10.1176/jnp.4.2.134","ISSN":"0895-0172","issue":"2","journalAbbreviation":"JNP","note":"publisher: American Psychiatric Publishing","page":"134-139","source":"neuro.psychiatryonline.org (Atypon)","title":"Reliability, validity, and clinical correlates of apathy in Parkinson's disease","volume":"4","author":[{"family":"Starkstein","given":"S. E."},{"family":"Mayberg","given":"H.S."},{"family":"Preziosi","given":"T.J."},{"family":"Andrezejewski","given":"P."},{"family":"Leiguarda","given":"R."},{"family":"Robinson","given":"R.G."}],"issued":{"date-parts":[["1992",5,1]]}}}],"schema":"https://github.com/citation-style-language/schema/raw/master/csl-citation.json"} </w:instrText>
      </w:r>
      <w:r>
        <w:fldChar w:fldCharType="separate"/>
      </w:r>
      <w:r w:rsidR="00B40560">
        <w:rPr>
          <w:noProof/>
        </w:rPr>
        <w:t>[1]</w:t>
      </w:r>
      <w:r>
        <w:fldChar w:fldCharType="end"/>
      </w:r>
      <w:r>
        <w:t xml:space="preserve">, Barratt Impulsiveness Scale </w:t>
      </w:r>
      <w:r>
        <w:fldChar w:fldCharType="begin"/>
      </w:r>
      <w:r w:rsidR="00B40560">
        <w:instrText xml:space="preserve"> ADDIN ZOTERO_ITEM CSL_CITATION {"citationID":"rGDIdca4","properties":{"formattedCitation":"[2]","plainCitation":"[2]","noteIndex":0},"citationItems":[{"id":796,"uris":["http://zotero.org/users/local/0NRHsP7Q/items/KFPNI8QR"],"uri":["http://zotero.org/users/local/0NRHsP7Q/items/KFPNI8QR"],"itemData":{"id":796,"type":"article-journal","container-title":"Journal of Clinical Psychology","DOI":"10.1002/1097-4679(199511)51:6\\textless768::AID-JCLP2270510607\\textgreater3.0.CO;2-1","ISSN":"1097-4679","issue":"6","language":"en","page":"768–774","title":"Factor structure of the barratt impulsiveness scale","volume":"51","author":[{"family":"Patton","given":"Jim H."},{"family":"Stanford","given":"Matthew S."},{"family":"Barratt","given":"Ernest S."}],"issued":{"date-parts":[["1995"]]}}}],"schema":"https://github.com/citation-style-language/schema/raw/master/csl-citation.json"} </w:instrText>
      </w:r>
      <w:r>
        <w:fldChar w:fldCharType="separate"/>
      </w:r>
      <w:r w:rsidR="00B40560">
        <w:rPr>
          <w:noProof/>
        </w:rPr>
        <w:t>[2]</w:t>
      </w:r>
      <w:r>
        <w:fldChar w:fldCharType="end"/>
      </w:r>
      <w:r>
        <w:t xml:space="preserve">, Motivation and Energy Inventory </w:t>
      </w:r>
      <w:r>
        <w:fldChar w:fldCharType="begin"/>
      </w:r>
      <w:r w:rsidR="00B40560">
        <w:instrText xml:space="preserve"> ADDIN ZOTERO_ITEM CSL_CITATION {"citationID":"Rj3e5JAT","properties":{"formattedCitation":"[3]","plainCitation":"[3]","noteIndex":0},"citationItems":[{"id":801,"uris":["http://zotero.org/users/local/0NRHsP7Q/items/AVX74S79"],"uri":["http://zotero.org/users/local/0NRHsP7Q/items/AVX74S79"],"itemData":{"id":801,"type":"article-journal","container-title":"Quality of Life Research","DOI":"10.1023/B:QURE.0000037502.64077.4d","ISSN":"1573-2649","issue":"7","language":"en","page":"1321–1336","title":"The development and psychometric evaluation of the motivation and energy inventory (MEI)","volume":"13","author":[{"family":"Fehnel","given":"S.E."},{"family":"Bann","given":"C.M."},{"family":"Hogue","given":"S.L."},{"family":"Kwong","given":"W.J."},{"family":"Mahajan","given":"S.S."}],"issued":{"date-parts":[["2004"]],"season":"09-01"}}}],"schema":"https://github.com/citation-style-language/schema/raw/master/csl-citation.json"} </w:instrText>
      </w:r>
      <w:r>
        <w:fldChar w:fldCharType="separate"/>
      </w:r>
      <w:r w:rsidR="00B40560">
        <w:rPr>
          <w:noProof/>
        </w:rPr>
        <w:t>[3]</w:t>
      </w:r>
      <w:r>
        <w:fldChar w:fldCharType="end"/>
      </w:r>
      <w:r>
        <w:t xml:space="preserve">, Hospital Anxiety and Depression Scale </w:t>
      </w:r>
      <w:r>
        <w:fldChar w:fldCharType="begin"/>
      </w:r>
      <w:r w:rsidR="00B40560">
        <w:instrText xml:space="preserve"> ADDIN ZOTERO_ITEM CSL_CITATION {"citationID":"jxUOOp4K","properties":{"formattedCitation":"[4]","plainCitation":"[4]","noteIndex":0},"citationItems":[{"id":794,"uris":["http://zotero.org/users/local/0NRHsP7Q/items/364CT42B"],"uri":["http://zotero.org/users/local/0NRHsP7Q/items/364CT42B"],"itemData":{"id":794,"type":"article-journal","container-title":"Acta Psychiatrica Scandinavica","DOI":"10.1111/j.1600-0447.1983.tb09716.x","ISSN":"1600-0447","issue":"6","language":"en","page":"361–370","title":"The Hospital Anxiety and Depression Scale","volume":"67","author":[{"family":"Zigmond","given":"A. S."},{"family":"Snaith","given":"R. P."}],"issued":{"date-parts":[["1983"]]}}}],"schema":"https://github.com/citation-style-language/schema/raw/master/csl-citation.json"} </w:instrText>
      </w:r>
      <w:r>
        <w:fldChar w:fldCharType="separate"/>
      </w:r>
      <w:r w:rsidR="00B40560">
        <w:rPr>
          <w:noProof/>
        </w:rPr>
        <w:t>[4]</w:t>
      </w:r>
      <w:r>
        <w:fldChar w:fldCharType="end"/>
      </w:r>
      <w:r>
        <w:t xml:space="preserve">, and Conners’ Adult ADHD Rating Scale </w:t>
      </w:r>
      <w:r>
        <w:fldChar w:fldCharType="begin"/>
      </w:r>
      <w:r w:rsidR="00B40560">
        <w:instrText xml:space="preserve"> ADDIN ZOTERO_ITEM CSL_CITATION {"citationID":"KIJxWJ3f","properties":{"formattedCitation":"[5]","plainCitation":"[5]","noteIndex":0},"citationItems":[{"id":798,"uris":["http://zotero.org/users/local/0NRHsP7Q/items/MEHZMZN7"],"uri":["http://zotero.org/users/local/0NRHsP7Q/items/MEHZMZN7"],"itemData":{"id":798,"type":"article-journal","container-title":"Journal of Attention Disorders","DOI":"10.1177/108705479900300303","ISSN":"1087-0547","issue":"3","language":"en","page":"141–151","title":"Self-ratings of ADHD symptoms in adults I: Factor structure and normative data","volume":"3","author":[{"family":"Conners","given":"C. K."},{"family":"Erhardt","given":"D."},{"family":"Epstein","given":"J. N."},{"family":"Parker","given":"J. D.A."},{"family":"Sitarenios","given":"G."},{"family":"Sparrow","given":"E."}],"issued":{"date-parts":[["1999"]],"season":"10-01"}}}],"schema":"https://github.com/citation-style-language/schema/raw/master/csl-citation.json"} </w:instrText>
      </w:r>
      <w:r>
        <w:fldChar w:fldCharType="separate"/>
      </w:r>
      <w:r w:rsidR="00B40560">
        <w:rPr>
          <w:noProof/>
        </w:rPr>
        <w:t>[5]</w:t>
      </w:r>
      <w:r>
        <w:fldChar w:fldCharType="end"/>
      </w:r>
      <w:r>
        <w:t xml:space="preserve">. Individuals with Parkinson’s disease additionally completed the REM sleep behaviour disorder screening questionnaire </w:t>
      </w:r>
      <w:r>
        <w:fldChar w:fldCharType="begin"/>
      </w:r>
      <w:r w:rsidR="00B40560">
        <w:instrText xml:space="preserve"> ADDIN ZOTERO_ITEM CSL_CITATION {"citationID":"WWQxzXUp","properties":{"formattedCitation":"[6]","plainCitation":"[6]","noteIndex":0},"citationItems":[{"id":802,"uris":["http://zotero.org/users/local/0NRHsP7Q/items/DB2UF3C9"],"uri":["http://zotero.org/users/local/0NRHsP7Q/items/DB2UF3C9"],"itemData":{"id":802,"type":"article-journal","container-title":"Movement Disorders","DOI":"10.1002/mds.21740","ISSN":"1531-8257","issue":"16","language":"en","page":"2386–2393","title":"The REM sleep behavior disorder screening questionnaire—A new diagnostic instrument","volume":"22","author":[{"family":"Stiasny</w:instrText>
      </w:r>
      <w:r w:rsidR="00B40560">
        <w:rPr>
          <w:rFonts w:ascii="Cambria Math" w:hAnsi="Cambria Math" w:cs="Cambria Math"/>
        </w:rPr>
        <w:instrText>‐</w:instrText>
      </w:r>
      <w:r w:rsidR="00B40560">
        <w:instrText>Kolster","given":"Karin"},{"family":"Mayer","given":"Geert"},{"family":"Schäfer","given":"Sylvia"},{"family":"Möller","given":"Jens Carsten"},{"family":"Heinzel</w:instrText>
      </w:r>
      <w:r w:rsidR="00B40560">
        <w:rPr>
          <w:rFonts w:ascii="Cambria Math" w:hAnsi="Cambria Math" w:cs="Cambria Math"/>
        </w:rPr>
        <w:instrText>‐</w:instrText>
      </w:r>
      <w:r w:rsidR="00B40560">
        <w:instrText xml:space="preserve">Gutenbrunner","given":"Monika"},{"family":"Oertel","given":"Wolfgang H."}],"issued":{"date-parts":[["2007"]]}}}],"schema":"https://github.com/citation-style-language/schema/raw/master/csl-citation.json"} </w:instrText>
      </w:r>
      <w:r>
        <w:fldChar w:fldCharType="separate"/>
      </w:r>
      <w:r w:rsidR="00B40560">
        <w:rPr>
          <w:lang w:val="en-US"/>
        </w:rPr>
        <w:t>[6]</w:t>
      </w:r>
      <w:r>
        <w:fldChar w:fldCharType="end"/>
      </w:r>
      <w:r>
        <w:t>. Furthermore, relatives or friends of the Parkinson’s disease patients completed informant-rated versions of the Conners’ Adult ADHD Rating Scale and the Apathy Scale, as well as a general mood and behavioural symptom inventory</w:t>
      </w:r>
      <w:r w:rsidR="008B2222">
        <w:t xml:space="preserve"> (Cambridge Behavioural Inventory Revised)</w:t>
      </w:r>
      <w:r w:rsidR="008B2222">
        <w:fldChar w:fldCharType="begin"/>
      </w:r>
      <w:r w:rsidR="008B2222">
        <w:instrText xml:space="preserve"> ADDIN ZOTERO_ITEM CSL_CITATION {"citationID":"PEtmgO3y","properties":{"formattedCitation":"[7]","plainCitation":"[7]","noteIndex":0},"citationItems":[{"id":385,"uris":["http://zotero.org/users/local/0NRHsP7Q/items/JRL6QSZT"],"uri":["http://zotero.org/users/local/0NRHsP7Q/items/JRL6QSZT"],"itemData":{"id":385,"type":"article-journal","abstract":"Abstract Neurobehavioural and psychiatric symptoms are common in a range of neurodegenerative disorders with distinct profiles which are helpful in the diagnosis and monitoring of these disorders. The Cambridge Behavioural Inventory (CBI) has been shown to distinguish frontotemporal dementia (FTD), Alzheimer's disease (AD), Huntington's disease (HD) and Parkinson's disease (PD), but it is lengthy.  Objective: To develop a shorter version of the 81 item CBI.  Methods: CBI data from 450 participants with behavioural variant frontotemporal dementia (bv-FTD) (64), AD (96), PD (215) and HD (75) were analysed using Principal Components Analysis and measures of internal consistency (Cronbach alpha).  Results: A reduced 45-item questionnaire was developed. The instrument identified distinct behavioural profiles and performed as well as the original version.  Conclusions: A shorter (45 item) version of the CBI is capable of differentiating bv-FTD and AD from PD and HD. It may be useful in delineating the type and extent of problems in these disorders as well as monitoring therapeutic interventions.\n          , \n            Resumo Sintomas psiquiátricos e de comportamento são comuns em várias doenças neurodegenerativas, com perfis distintos que são úteis no diagnóstico e no acompanhamento destas doenças. O Inventário Comportamental de Cambridge (CBI) tem mostrado como distinguir entre demência frontotemporal (DFT), doença de Alzheimer (DA), doença de Huntington (DH) e doença de Parkinson (DP), mas é um instrumento longo.  Objetivo: Desenvolver uma versão curta do CBI de 81 itens.  Métodos: Dados de 450 participantes com a variante comportamental (VC) da DFT (64), DA (96), DP (215) e DH (75) foram analisados usando análise de componentes principais (PCA) e medidas de consistência interna (Cronbach alpha).  Resultados: Uma versão reduzida de 45 itens do questionário foi desenvolvida. O instrumento identificou perfis distintos de comportamento e seu desempenho foi tão bom quanto a versão original.  Conclusões: Uma versão curta (45 itens) do CBI é capaz de diferenciar VC-DFT e DA de DP e DH, e pode ser útil em identificar o tipo e extensão de problemas nestas doenças e também no monitoramento de intervenções terapêuticas.","container-title":"Dementia &amp; Neuropsychologia","DOI":"10.1590/S1980-57642009DN20200005","ISSN":"1980-5764","issue":"2","journalAbbreviation":"Dement. neuropsychol.","page":"102-107","source":"DOI.org (Crossref)","title":"The Cambridge Behavioural Inventory revised","volume":"2","author":[{"family":"Wear","given":"Helen J."},{"family":"Wedderburn","given":"Catherine J."},{"family":"Mioshi","given":"Eneida"},{"family":"Williams-Gray","given":"Caroline H."},{"family":"Mason","given":"Sarah L."},{"family":"Barker","given":"Roger A."},{"family":"Hodges","given":"John R."}],"issued":{"date-parts":[["2008",6]]}}}],"schema":"https://github.com/citation-style-language/schema/raw/master/csl-citation.json"} </w:instrText>
      </w:r>
      <w:r w:rsidR="008B2222">
        <w:fldChar w:fldCharType="separate"/>
      </w:r>
      <w:r w:rsidR="008B2222">
        <w:rPr>
          <w:noProof/>
        </w:rPr>
        <w:t>[7]</w:t>
      </w:r>
      <w:r w:rsidR="008B2222">
        <w:fldChar w:fldCharType="end"/>
      </w:r>
      <w:r>
        <w:t>.</w:t>
      </w:r>
    </w:p>
    <w:p w14:paraId="0FEB7E11" w14:textId="77777777" w:rsidR="00392045" w:rsidRDefault="00392045" w:rsidP="00392045">
      <w:pPr>
        <w:spacing w:line="360" w:lineRule="auto"/>
      </w:pPr>
    </w:p>
    <w:p w14:paraId="58500679" w14:textId="5707611A" w:rsidR="00392045" w:rsidRPr="00AE7810" w:rsidRDefault="00DC78D4" w:rsidP="00392045">
      <w:pPr>
        <w:spacing w:line="360" w:lineRule="auto"/>
        <w:rPr>
          <w:b/>
          <w:sz w:val="20"/>
        </w:rPr>
      </w:pPr>
      <w:r>
        <w:rPr>
          <w:b/>
          <w:sz w:val="20"/>
        </w:rPr>
        <w:t>Table</w:t>
      </w:r>
      <w:r w:rsidR="008B2222">
        <w:rPr>
          <w:b/>
          <w:sz w:val="20"/>
        </w:rPr>
        <w:t xml:space="preserve"> A</w:t>
      </w:r>
      <w:r>
        <w:rPr>
          <w:b/>
          <w:sz w:val="20"/>
        </w:rPr>
        <w:t xml:space="preserve"> </w:t>
      </w:r>
      <w:r w:rsidR="00392045" w:rsidRPr="00AE7810">
        <w:rPr>
          <w:b/>
          <w:sz w:val="20"/>
        </w:rPr>
        <w:t>| Descriptive statistics and group comparisons of questionnaires.</w:t>
      </w:r>
    </w:p>
    <w:tbl>
      <w:tblPr>
        <w:tblW w:w="9309" w:type="dxa"/>
        <w:shd w:val="clear" w:color="auto" w:fill="FFFFFF"/>
        <w:tblCellMar>
          <w:top w:w="15" w:type="dxa"/>
          <w:left w:w="15" w:type="dxa"/>
          <w:bottom w:w="15" w:type="dxa"/>
          <w:right w:w="15" w:type="dxa"/>
        </w:tblCellMar>
        <w:tblLook w:val="04A0" w:firstRow="1" w:lastRow="0" w:firstColumn="1" w:lastColumn="0" w:noHBand="0" w:noVBand="1"/>
      </w:tblPr>
      <w:tblGrid>
        <w:gridCol w:w="1700"/>
        <w:gridCol w:w="3264"/>
        <w:gridCol w:w="1474"/>
        <w:gridCol w:w="1587"/>
        <w:gridCol w:w="642"/>
        <w:gridCol w:w="642"/>
      </w:tblGrid>
      <w:tr w:rsidR="00392045" w:rsidRPr="008D47B7" w14:paraId="19B7EB77" w14:textId="77777777" w:rsidTr="002B2366">
        <w:trPr>
          <w:trHeight w:val="23"/>
        </w:trPr>
        <w:tc>
          <w:tcPr>
            <w:tcW w:w="1701" w:type="dxa"/>
            <w:tcBorders>
              <w:bottom w:val="single" w:sz="4" w:space="0" w:color="auto"/>
            </w:tcBorders>
            <w:shd w:val="clear" w:color="auto" w:fill="FFFFFF"/>
            <w:tcMar>
              <w:top w:w="120" w:type="dxa"/>
              <w:left w:w="120" w:type="dxa"/>
              <w:bottom w:w="120" w:type="dxa"/>
              <w:right w:w="120" w:type="dxa"/>
            </w:tcMar>
            <w:vAlign w:val="bottom"/>
            <w:hideMark/>
          </w:tcPr>
          <w:p w14:paraId="111547EC" w14:textId="77777777" w:rsidR="00392045" w:rsidRPr="008D47B7" w:rsidRDefault="00392045" w:rsidP="002B2366">
            <w:pPr>
              <w:rPr>
                <w:b/>
                <w:bCs/>
                <w:sz w:val="20"/>
                <w:szCs w:val="20"/>
              </w:rPr>
            </w:pPr>
            <w:r w:rsidRPr="008D47B7">
              <w:rPr>
                <w:b/>
                <w:bCs/>
                <w:sz w:val="20"/>
                <w:szCs w:val="20"/>
              </w:rPr>
              <w:t>Measure</w:t>
            </w:r>
          </w:p>
        </w:tc>
        <w:tc>
          <w:tcPr>
            <w:tcW w:w="0" w:type="auto"/>
            <w:tcBorders>
              <w:bottom w:val="single" w:sz="4" w:space="0" w:color="auto"/>
            </w:tcBorders>
            <w:shd w:val="clear" w:color="auto" w:fill="FFFFFF"/>
            <w:tcMar>
              <w:top w:w="120" w:type="dxa"/>
              <w:left w:w="120" w:type="dxa"/>
              <w:bottom w:w="120" w:type="dxa"/>
              <w:right w:w="120" w:type="dxa"/>
            </w:tcMar>
            <w:vAlign w:val="bottom"/>
            <w:hideMark/>
          </w:tcPr>
          <w:p w14:paraId="7874D4CA" w14:textId="77777777" w:rsidR="00392045" w:rsidRPr="008D47B7" w:rsidRDefault="00392045" w:rsidP="002B2366">
            <w:pPr>
              <w:rPr>
                <w:b/>
                <w:bCs/>
                <w:sz w:val="20"/>
                <w:szCs w:val="20"/>
              </w:rPr>
            </w:pPr>
          </w:p>
        </w:tc>
        <w:tc>
          <w:tcPr>
            <w:tcW w:w="1474" w:type="dxa"/>
            <w:tcBorders>
              <w:bottom w:val="single" w:sz="4" w:space="0" w:color="auto"/>
            </w:tcBorders>
            <w:shd w:val="clear" w:color="auto" w:fill="FFFFFF"/>
            <w:tcMar>
              <w:top w:w="120" w:type="dxa"/>
              <w:left w:w="120" w:type="dxa"/>
              <w:bottom w:w="120" w:type="dxa"/>
              <w:right w:w="120" w:type="dxa"/>
            </w:tcMar>
            <w:vAlign w:val="bottom"/>
            <w:hideMark/>
          </w:tcPr>
          <w:p w14:paraId="35144218" w14:textId="77777777" w:rsidR="00392045" w:rsidRPr="008D47B7" w:rsidRDefault="00392045" w:rsidP="002B2366">
            <w:pPr>
              <w:ind w:right="-144"/>
              <w:rPr>
                <w:b/>
                <w:bCs/>
                <w:sz w:val="20"/>
                <w:szCs w:val="20"/>
              </w:rPr>
            </w:pPr>
            <w:r w:rsidRPr="008D47B7">
              <w:rPr>
                <w:b/>
                <w:bCs/>
                <w:sz w:val="20"/>
                <w:szCs w:val="20"/>
              </w:rPr>
              <w:t>PD</w:t>
            </w:r>
          </w:p>
        </w:tc>
        <w:tc>
          <w:tcPr>
            <w:tcW w:w="1587" w:type="dxa"/>
            <w:tcBorders>
              <w:bottom w:val="single" w:sz="4" w:space="0" w:color="auto"/>
            </w:tcBorders>
            <w:shd w:val="clear" w:color="auto" w:fill="FFFFFF"/>
            <w:tcMar>
              <w:top w:w="120" w:type="dxa"/>
              <w:left w:w="120" w:type="dxa"/>
              <w:bottom w:w="120" w:type="dxa"/>
              <w:right w:w="120" w:type="dxa"/>
            </w:tcMar>
            <w:vAlign w:val="bottom"/>
            <w:hideMark/>
          </w:tcPr>
          <w:p w14:paraId="65385E2B" w14:textId="77777777" w:rsidR="00392045" w:rsidRPr="008D47B7" w:rsidRDefault="00392045" w:rsidP="002B2366">
            <w:pPr>
              <w:rPr>
                <w:b/>
                <w:bCs/>
                <w:sz w:val="20"/>
                <w:szCs w:val="20"/>
              </w:rPr>
            </w:pPr>
            <w:r w:rsidRPr="008D47B7">
              <w:rPr>
                <w:b/>
                <w:bCs/>
                <w:sz w:val="20"/>
                <w:szCs w:val="20"/>
              </w:rPr>
              <w:t>Controls</w:t>
            </w:r>
          </w:p>
        </w:tc>
        <w:tc>
          <w:tcPr>
            <w:tcW w:w="0" w:type="auto"/>
            <w:tcBorders>
              <w:bottom w:val="single" w:sz="4" w:space="0" w:color="auto"/>
            </w:tcBorders>
            <w:shd w:val="clear" w:color="auto" w:fill="FFFFFF"/>
            <w:tcMar>
              <w:top w:w="120" w:type="dxa"/>
              <w:left w:w="120" w:type="dxa"/>
              <w:bottom w:w="120" w:type="dxa"/>
              <w:right w:w="120" w:type="dxa"/>
            </w:tcMar>
            <w:vAlign w:val="bottom"/>
            <w:hideMark/>
          </w:tcPr>
          <w:p w14:paraId="3E819474" w14:textId="77777777" w:rsidR="00392045" w:rsidRPr="00AE7810" w:rsidRDefault="00392045" w:rsidP="002B2366">
            <w:pPr>
              <w:rPr>
                <w:b/>
                <w:bCs/>
                <w:i/>
                <w:sz w:val="20"/>
                <w:szCs w:val="20"/>
              </w:rPr>
            </w:pPr>
            <w:r w:rsidRPr="00AE7810">
              <w:rPr>
                <w:b/>
                <w:bCs/>
                <w:i/>
                <w:sz w:val="20"/>
                <w:szCs w:val="20"/>
              </w:rPr>
              <w:t>BF</w:t>
            </w:r>
          </w:p>
        </w:tc>
        <w:tc>
          <w:tcPr>
            <w:tcW w:w="0" w:type="auto"/>
            <w:tcBorders>
              <w:bottom w:val="single" w:sz="4" w:space="0" w:color="auto"/>
            </w:tcBorders>
            <w:shd w:val="clear" w:color="auto" w:fill="FFFFFF"/>
            <w:tcMar>
              <w:top w:w="120" w:type="dxa"/>
              <w:left w:w="120" w:type="dxa"/>
              <w:bottom w:w="120" w:type="dxa"/>
              <w:right w:w="120" w:type="dxa"/>
            </w:tcMar>
            <w:vAlign w:val="bottom"/>
            <w:hideMark/>
          </w:tcPr>
          <w:p w14:paraId="0C28F126" w14:textId="77777777" w:rsidR="00392045" w:rsidRPr="008D47B7" w:rsidRDefault="00392045" w:rsidP="002B2366">
            <w:pPr>
              <w:rPr>
                <w:b/>
                <w:bCs/>
                <w:sz w:val="20"/>
                <w:szCs w:val="20"/>
              </w:rPr>
            </w:pPr>
            <w:r w:rsidRPr="008D47B7">
              <w:rPr>
                <w:b/>
                <w:bCs/>
                <w:i/>
                <w:iCs/>
                <w:sz w:val="20"/>
                <w:szCs w:val="20"/>
              </w:rPr>
              <w:t>p</w:t>
            </w:r>
          </w:p>
        </w:tc>
      </w:tr>
      <w:tr w:rsidR="00392045" w:rsidRPr="008D47B7" w14:paraId="373BAD42" w14:textId="77777777" w:rsidTr="002B2366">
        <w:trPr>
          <w:trHeight w:val="57"/>
        </w:trPr>
        <w:tc>
          <w:tcPr>
            <w:tcW w:w="1701" w:type="dxa"/>
            <w:vMerge w:val="restart"/>
            <w:tcBorders>
              <w:top w:val="single" w:sz="4" w:space="0" w:color="auto"/>
            </w:tcBorders>
            <w:shd w:val="clear" w:color="auto" w:fill="FFFFFF"/>
            <w:tcMar>
              <w:top w:w="120" w:type="dxa"/>
              <w:left w:w="120" w:type="dxa"/>
              <w:bottom w:w="120" w:type="dxa"/>
              <w:right w:w="120" w:type="dxa"/>
            </w:tcMar>
            <w:vAlign w:val="center"/>
            <w:hideMark/>
          </w:tcPr>
          <w:p w14:paraId="3FD0F199" w14:textId="77777777" w:rsidR="00392045" w:rsidRPr="008D47B7" w:rsidRDefault="00392045" w:rsidP="002B2366">
            <w:pPr>
              <w:rPr>
                <w:sz w:val="20"/>
                <w:szCs w:val="20"/>
              </w:rPr>
            </w:pPr>
            <w:r w:rsidRPr="008D47B7">
              <w:rPr>
                <w:sz w:val="20"/>
                <w:szCs w:val="20"/>
              </w:rPr>
              <w:t>Apathy Scale</w:t>
            </w:r>
          </w:p>
        </w:tc>
        <w:tc>
          <w:tcPr>
            <w:tcW w:w="0" w:type="auto"/>
            <w:tcBorders>
              <w:top w:val="single" w:sz="4" w:space="0" w:color="auto"/>
            </w:tcBorders>
            <w:shd w:val="clear" w:color="auto" w:fill="FFFFFF"/>
            <w:tcMar>
              <w:top w:w="120" w:type="dxa"/>
              <w:left w:w="120" w:type="dxa"/>
              <w:bottom w:w="120" w:type="dxa"/>
              <w:right w:w="120" w:type="dxa"/>
            </w:tcMar>
            <w:hideMark/>
          </w:tcPr>
          <w:p w14:paraId="4DD14B5B" w14:textId="77777777" w:rsidR="00392045" w:rsidRPr="008D47B7" w:rsidRDefault="00392045" w:rsidP="002B2366">
            <w:pPr>
              <w:rPr>
                <w:sz w:val="20"/>
                <w:szCs w:val="20"/>
              </w:rPr>
            </w:pPr>
            <w:r w:rsidRPr="008D47B7">
              <w:rPr>
                <w:sz w:val="20"/>
                <w:szCs w:val="20"/>
              </w:rPr>
              <w:t>Total Score (self-rated)</w:t>
            </w:r>
          </w:p>
        </w:tc>
        <w:tc>
          <w:tcPr>
            <w:tcW w:w="1474" w:type="dxa"/>
            <w:tcBorders>
              <w:top w:val="single" w:sz="4" w:space="0" w:color="auto"/>
            </w:tcBorders>
            <w:shd w:val="clear" w:color="auto" w:fill="FFFFFF"/>
            <w:tcMar>
              <w:top w:w="120" w:type="dxa"/>
              <w:left w:w="120" w:type="dxa"/>
              <w:bottom w:w="120" w:type="dxa"/>
              <w:right w:w="120" w:type="dxa"/>
            </w:tcMar>
            <w:hideMark/>
          </w:tcPr>
          <w:p w14:paraId="7144B48D" w14:textId="77777777" w:rsidR="00392045" w:rsidRPr="008D47B7" w:rsidRDefault="00392045" w:rsidP="002B2366">
            <w:pPr>
              <w:rPr>
                <w:sz w:val="20"/>
                <w:szCs w:val="20"/>
              </w:rPr>
            </w:pPr>
            <w:r w:rsidRPr="008D47B7">
              <w:rPr>
                <w:sz w:val="20"/>
                <w:szCs w:val="20"/>
              </w:rPr>
              <w:t>12.68 (5.77)</w:t>
            </w:r>
          </w:p>
        </w:tc>
        <w:tc>
          <w:tcPr>
            <w:tcW w:w="1587" w:type="dxa"/>
            <w:tcBorders>
              <w:top w:val="single" w:sz="4" w:space="0" w:color="auto"/>
            </w:tcBorders>
            <w:shd w:val="clear" w:color="auto" w:fill="FFFFFF"/>
            <w:tcMar>
              <w:top w:w="120" w:type="dxa"/>
              <w:left w:w="120" w:type="dxa"/>
              <w:bottom w:w="120" w:type="dxa"/>
              <w:right w:w="120" w:type="dxa"/>
            </w:tcMar>
            <w:hideMark/>
          </w:tcPr>
          <w:p w14:paraId="73CF84E6" w14:textId="77777777" w:rsidR="00392045" w:rsidRPr="008D47B7" w:rsidRDefault="00392045" w:rsidP="002B2366">
            <w:pPr>
              <w:rPr>
                <w:sz w:val="20"/>
                <w:szCs w:val="20"/>
              </w:rPr>
            </w:pPr>
            <w:r w:rsidRPr="008D47B7">
              <w:rPr>
                <w:sz w:val="20"/>
                <w:szCs w:val="20"/>
              </w:rPr>
              <w:t>10.58 (5.09)</w:t>
            </w:r>
          </w:p>
        </w:tc>
        <w:tc>
          <w:tcPr>
            <w:tcW w:w="0" w:type="auto"/>
            <w:tcBorders>
              <w:top w:val="single" w:sz="4" w:space="0" w:color="auto"/>
            </w:tcBorders>
            <w:shd w:val="clear" w:color="auto" w:fill="FFFFFF"/>
            <w:tcMar>
              <w:top w:w="120" w:type="dxa"/>
              <w:left w:w="120" w:type="dxa"/>
              <w:bottom w:w="120" w:type="dxa"/>
              <w:right w:w="120" w:type="dxa"/>
            </w:tcMar>
            <w:hideMark/>
          </w:tcPr>
          <w:p w14:paraId="7B2A592C" w14:textId="77777777" w:rsidR="00392045" w:rsidRPr="008D47B7" w:rsidRDefault="00392045" w:rsidP="002B2366">
            <w:pPr>
              <w:rPr>
                <w:sz w:val="20"/>
                <w:szCs w:val="20"/>
              </w:rPr>
            </w:pPr>
            <w:r w:rsidRPr="008D47B7">
              <w:rPr>
                <w:sz w:val="20"/>
                <w:szCs w:val="20"/>
              </w:rPr>
              <w:t>0.58</w:t>
            </w:r>
          </w:p>
        </w:tc>
        <w:tc>
          <w:tcPr>
            <w:tcW w:w="0" w:type="auto"/>
            <w:tcBorders>
              <w:top w:val="single" w:sz="4" w:space="0" w:color="auto"/>
            </w:tcBorders>
            <w:shd w:val="clear" w:color="auto" w:fill="FFFFFF"/>
            <w:tcMar>
              <w:top w:w="120" w:type="dxa"/>
              <w:left w:w="120" w:type="dxa"/>
              <w:bottom w:w="120" w:type="dxa"/>
              <w:right w:w="120" w:type="dxa"/>
            </w:tcMar>
            <w:hideMark/>
          </w:tcPr>
          <w:p w14:paraId="22ABE34C" w14:textId="77777777" w:rsidR="00392045" w:rsidRPr="008D47B7" w:rsidRDefault="00392045" w:rsidP="002B2366">
            <w:pPr>
              <w:rPr>
                <w:sz w:val="20"/>
                <w:szCs w:val="20"/>
              </w:rPr>
            </w:pPr>
            <w:r w:rsidRPr="008D47B7">
              <w:rPr>
                <w:sz w:val="20"/>
                <w:szCs w:val="20"/>
              </w:rPr>
              <w:t>.212</w:t>
            </w:r>
          </w:p>
        </w:tc>
      </w:tr>
      <w:tr w:rsidR="00392045" w:rsidRPr="008D47B7" w14:paraId="3B6B091D" w14:textId="77777777" w:rsidTr="002B2366">
        <w:trPr>
          <w:trHeight w:val="57"/>
        </w:trPr>
        <w:tc>
          <w:tcPr>
            <w:tcW w:w="1701" w:type="dxa"/>
            <w:vMerge/>
            <w:tcBorders>
              <w:bottom w:val="single" w:sz="4" w:space="0" w:color="BFBFBF" w:themeColor="background1" w:themeShade="BF"/>
            </w:tcBorders>
            <w:shd w:val="clear" w:color="auto" w:fill="FFFFFF"/>
            <w:vAlign w:val="center"/>
            <w:hideMark/>
          </w:tcPr>
          <w:p w14:paraId="07727DDE" w14:textId="77777777" w:rsidR="00392045" w:rsidRPr="008D47B7" w:rsidRDefault="00392045" w:rsidP="002B2366">
            <w:pPr>
              <w:rPr>
                <w:sz w:val="20"/>
                <w:szCs w:val="20"/>
              </w:rPr>
            </w:pP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4E536CAA" w14:textId="77777777" w:rsidR="00392045" w:rsidRPr="008D47B7" w:rsidRDefault="00392045" w:rsidP="002B2366">
            <w:pPr>
              <w:rPr>
                <w:sz w:val="20"/>
                <w:szCs w:val="20"/>
              </w:rPr>
            </w:pPr>
            <w:r w:rsidRPr="008D47B7">
              <w:rPr>
                <w:sz w:val="20"/>
                <w:szCs w:val="20"/>
              </w:rPr>
              <w:t>Total Score (informant-rated)</w:t>
            </w:r>
          </w:p>
        </w:tc>
        <w:tc>
          <w:tcPr>
            <w:tcW w:w="1474" w:type="dxa"/>
            <w:tcBorders>
              <w:bottom w:val="single" w:sz="4" w:space="0" w:color="BFBFBF" w:themeColor="background1" w:themeShade="BF"/>
            </w:tcBorders>
            <w:shd w:val="clear" w:color="auto" w:fill="FFFFFF"/>
            <w:tcMar>
              <w:top w:w="120" w:type="dxa"/>
              <w:left w:w="120" w:type="dxa"/>
              <w:bottom w:w="120" w:type="dxa"/>
              <w:right w:w="120" w:type="dxa"/>
            </w:tcMar>
            <w:hideMark/>
          </w:tcPr>
          <w:p w14:paraId="717C8661" w14:textId="77777777" w:rsidR="00392045" w:rsidRPr="008D47B7" w:rsidRDefault="00392045" w:rsidP="002B2366">
            <w:pPr>
              <w:rPr>
                <w:sz w:val="20"/>
                <w:szCs w:val="20"/>
              </w:rPr>
            </w:pPr>
            <w:r w:rsidRPr="008D47B7">
              <w:rPr>
                <w:sz w:val="20"/>
                <w:szCs w:val="20"/>
              </w:rPr>
              <w:t>13.13 (5.59)</w:t>
            </w:r>
          </w:p>
        </w:tc>
        <w:tc>
          <w:tcPr>
            <w:tcW w:w="1587" w:type="dxa"/>
            <w:tcBorders>
              <w:bottom w:val="single" w:sz="4" w:space="0" w:color="BFBFBF" w:themeColor="background1" w:themeShade="BF"/>
            </w:tcBorders>
            <w:shd w:val="clear" w:color="auto" w:fill="FFFFFF"/>
            <w:tcMar>
              <w:top w:w="120" w:type="dxa"/>
              <w:left w:w="120" w:type="dxa"/>
              <w:bottom w:w="120" w:type="dxa"/>
              <w:right w:w="120" w:type="dxa"/>
            </w:tcMar>
            <w:hideMark/>
          </w:tcPr>
          <w:p w14:paraId="513C2229" w14:textId="77777777" w:rsidR="00392045" w:rsidRPr="008D47B7" w:rsidRDefault="00392045" w:rsidP="002B2366">
            <w:pPr>
              <w:rPr>
                <w:sz w:val="20"/>
                <w:szCs w:val="20"/>
              </w:rPr>
            </w:pP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0AF76088" w14:textId="77777777" w:rsidR="00392045" w:rsidRPr="008D47B7" w:rsidRDefault="00392045" w:rsidP="002B2366">
            <w:pPr>
              <w:rPr>
                <w:sz w:val="20"/>
                <w:szCs w:val="20"/>
              </w:rPr>
            </w:pP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4F3EE885" w14:textId="77777777" w:rsidR="00392045" w:rsidRPr="008D47B7" w:rsidRDefault="00392045" w:rsidP="002B2366">
            <w:pPr>
              <w:rPr>
                <w:sz w:val="20"/>
                <w:szCs w:val="20"/>
              </w:rPr>
            </w:pPr>
          </w:p>
        </w:tc>
      </w:tr>
      <w:tr w:rsidR="00392045" w:rsidRPr="008D47B7" w14:paraId="2FF359EB" w14:textId="77777777" w:rsidTr="002B2366">
        <w:trPr>
          <w:trHeight w:val="57"/>
        </w:trPr>
        <w:tc>
          <w:tcPr>
            <w:tcW w:w="1701" w:type="dxa"/>
            <w:vMerge w:val="restart"/>
            <w:tcBorders>
              <w:top w:val="single" w:sz="4" w:space="0" w:color="BFBFBF" w:themeColor="background1" w:themeShade="BF"/>
            </w:tcBorders>
            <w:shd w:val="clear" w:color="auto" w:fill="FFFFFF"/>
            <w:tcMar>
              <w:top w:w="120" w:type="dxa"/>
              <w:left w:w="120" w:type="dxa"/>
              <w:bottom w:w="120" w:type="dxa"/>
              <w:right w:w="120" w:type="dxa"/>
            </w:tcMar>
            <w:vAlign w:val="center"/>
            <w:hideMark/>
          </w:tcPr>
          <w:p w14:paraId="14496C5D" w14:textId="77777777" w:rsidR="00392045" w:rsidRPr="008D47B7" w:rsidRDefault="00392045" w:rsidP="002B2366">
            <w:pPr>
              <w:rPr>
                <w:sz w:val="20"/>
                <w:szCs w:val="20"/>
              </w:rPr>
            </w:pPr>
            <w:r w:rsidRPr="008D47B7">
              <w:rPr>
                <w:sz w:val="20"/>
                <w:szCs w:val="20"/>
              </w:rPr>
              <w:t>BIS</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5FCEE28E" w14:textId="77777777" w:rsidR="00392045" w:rsidRPr="008D47B7" w:rsidRDefault="00392045" w:rsidP="002B2366">
            <w:pPr>
              <w:rPr>
                <w:sz w:val="20"/>
                <w:szCs w:val="20"/>
              </w:rPr>
            </w:pPr>
            <w:r w:rsidRPr="008D47B7">
              <w:rPr>
                <w:sz w:val="20"/>
                <w:szCs w:val="20"/>
              </w:rPr>
              <w:t>Total Score</w:t>
            </w:r>
          </w:p>
        </w:tc>
        <w:tc>
          <w:tcPr>
            <w:tcW w:w="1474" w:type="dxa"/>
            <w:tcBorders>
              <w:top w:val="single" w:sz="4" w:space="0" w:color="BFBFBF" w:themeColor="background1" w:themeShade="BF"/>
            </w:tcBorders>
            <w:shd w:val="clear" w:color="auto" w:fill="FFFFFF"/>
            <w:tcMar>
              <w:top w:w="120" w:type="dxa"/>
              <w:left w:w="120" w:type="dxa"/>
              <w:bottom w:w="120" w:type="dxa"/>
              <w:right w:w="120" w:type="dxa"/>
            </w:tcMar>
            <w:hideMark/>
          </w:tcPr>
          <w:p w14:paraId="1ED65953" w14:textId="77777777" w:rsidR="00392045" w:rsidRPr="008D47B7" w:rsidRDefault="00392045" w:rsidP="002B2366">
            <w:pPr>
              <w:rPr>
                <w:sz w:val="20"/>
                <w:szCs w:val="20"/>
              </w:rPr>
            </w:pPr>
            <w:r w:rsidRPr="008D47B7">
              <w:rPr>
                <w:sz w:val="20"/>
                <w:szCs w:val="20"/>
              </w:rPr>
              <w:t>56.45 (10.34)</w:t>
            </w:r>
          </w:p>
        </w:tc>
        <w:tc>
          <w:tcPr>
            <w:tcW w:w="1587" w:type="dxa"/>
            <w:tcBorders>
              <w:top w:val="single" w:sz="4" w:space="0" w:color="BFBFBF" w:themeColor="background1" w:themeShade="BF"/>
            </w:tcBorders>
            <w:shd w:val="clear" w:color="auto" w:fill="FFFFFF"/>
            <w:tcMar>
              <w:top w:w="120" w:type="dxa"/>
              <w:left w:w="120" w:type="dxa"/>
              <w:bottom w:w="120" w:type="dxa"/>
              <w:right w:w="120" w:type="dxa"/>
            </w:tcMar>
            <w:hideMark/>
          </w:tcPr>
          <w:p w14:paraId="202D82AC" w14:textId="77777777" w:rsidR="00392045" w:rsidRPr="008D47B7" w:rsidRDefault="00392045" w:rsidP="002B2366">
            <w:pPr>
              <w:rPr>
                <w:sz w:val="20"/>
                <w:szCs w:val="20"/>
              </w:rPr>
            </w:pPr>
            <w:r w:rsidRPr="008D47B7">
              <w:rPr>
                <w:sz w:val="20"/>
                <w:szCs w:val="20"/>
              </w:rPr>
              <w:t>56.15 (9.67)</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0CFAB8D5" w14:textId="77777777" w:rsidR="00392045" w:rsidRPr="008D47B7" w:rsidRDefault="00392045" w:rsidP="002B2366">
            <w:pPr>
              <w:rPr>
                <w:sz w:val="20"/>
                <w:szCs w:val="20"/>
              </w:rPr>
            </w:pPr>
            <w:r w:rsidRPr="008D47B7">
              <w:rPr>
                <w:sz w:val="20"/>
                <w:szCs w:val="20"/>
              </w:rPr>
              <w:t>0.3</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09918DA3" w14:textId="77777777" w:rsidR="00392045" w:rsidRPr="008D47B7" w:rsidRDefault="00392045" w:rsidP="002B2366">
            <w:pPr>
              <w:rPr>
                <w:sz w:val="20"/>
                <w:szCs w:val="20"/>
              </w:rPr>
            </w:pPr>
            <w:r w:rsidRPr="008D47B7">
              <w:rPr>
                <w:sz w:val="20"/>
                <w:szCs w:val="20"/>
              </w:rPr>
              <w:t>.924</w:t>
            </w:r>
          </w:p>
        </w:tc>
      </w:tr>
      <w:tr w:rsidR="00392045" w:rsidRPr="008D47B7" w14:paraId="74432EB1" w14:textId="77777777" w:rsidTr="002B2366">
        <w:trPr>
          <w:trHeight w:val="57"/>
        </w:trPr>
        <w:tc>
          <w:tcPr>
            <w:tcW w:w="1701" w:type="dxa"/>
            <w:vMerge/>
            <w:shd w:val="clear" w:color="auto" w:fill="FFFFFF"/>
            <w:vAlign w:val="center"/>
            <w:hideMark/>
          </w:tcPr>
          <w:p w14:paraId="25CD4C96"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4FFFE385" w14:textId="77777777" w:rsidR="00392045" w:rsidRPr="008D47B7" w:rsidRDefault="00392045" w:rsidP="002B2366">
            <w:pPr>
              <w:rPr>
                <w:sz w:val="20"/>
                <w:szCs w:val="20"/>
              </w:rPr>
            </w:pPr>
            <w:r w:rsidRPr="008D47B7">
              <w:rPr>
                <w:sz w:val="20"/>
                <w:szCs w:val="20"/>
              </w:rPr>
              <w:t>Attention</w:t>
            </w:r>
          </w:p>
        </w:tc>
        <w:tc>
          <w:tcPr>
            <w:tcW w:w="1474" w:type="dxa"/>
            <w:shd w:val="clear" w:color="auto" w:fill="FFFFFF"/>
            <w:tcMar>
              <w:top w:w="120" w:type="dxa"/>
              <w:left w:w="120" w:type="dxa"/>
              <w:bottom w:w="120" w:type="dxa"/>
              <w:right w:w="120" w:type="dxa"/>
            </w:tcMar>
            <w:hideMark/>
          </w:tcPr>
          <w:p w14:paraId="26C834AB" w14:textId="77777777" w:rsidR="00392045" w:rsidRPr="008D47B7" w:rsidRDefault="00392045" w:rsidP="002B2366">
            <w:pPr>
              <w:rPr>
                <w:sz w:val="20"/>
                <w:szCs w:val="20"/>
              </w:rPr>
            </w:pPr>
            <w:r w:rsidRPr="008D47B7">
              <w:rPr>
                <w:sz w:val="20"/>
                <w:szCs w:val="20"/>
              </w:rPr>
              <w:t>14.16 (4.3)</w:t>
            </w:r>
          </w:p>
        </w:tc>
        <w:tc>
          <w:tcPr>
            <w:tcW w:w="1587" w:type="dxa"/>
            <w:shd w:val="clear" w:color="auto" w:fill="FFFFFF"/>
            <w:tcMar>
              <w:top w:w="120" w:type="dxa"/>
              <w:left w:w="120" w:type="dxa"/>
              <w:bottom w:w="120" w:type="dxa"/>
              <w:right w:w="120" w:type="dxa"/>
            </w:tcMar>
            <w:hideMark/>
          </w:tcPr>
          <w:p w14:paraId="6999454E" w14:textId="77777777" w:rsidR="00392045" w:rsidRPr="008D47B7" w:rsidRDefault="00392045" w:rsidP="002B2366">
            <w:pPr>
              <w:rPr>
                <w:sz w:val="20"/>
                <w:szCs w:val="20"/>
              </w:rPr>
            </w:pPr>
            <w:r w:rsidRPr="008D47B7">
              <w:rPr>
                <w:sz w:val="20"/>
                <w:szCs w:val="20"/>
              </w:rPr>
              <w:t>14.23 (3.72)</w:t>
            </w:r>
          </w:p>
        </w:tc>
        <w:tc>
          <w:tcPr>
            <w:tcW w:w="0" w:type="auto"/>
            <w:shd w:val="clear" w:color="auto" w:fill="FFFFFF"/>
            <w:tcMar>
              <w:top w:w="120" w:type="dxa"/>
              <w:left w:w="120" w:type="dxa"/>
              <w:bottom w:w="120" w:type="dxa"/>
              <w:right w:w="120" w:type="dxa"/>
            </w:tcMar>
            <w:hideMark/>
          </w:tcPr>
          <w:p w14:paraId="3804C297" w14:textId="77777777" w:rsidR="00392045" w:rsidRPr="008D47B7" w:rsidRDefault="00392045" w:rsidP="002B2366">
            <w:pPr>
              <w:rPr>
                <w:sz w:val="20"/>
                <w:szCs w:val="20"/>
              </w:rPr>
            </w:pPr>
            <w:r w:rsidRPr="008D47B7">
              <w:rPr>
                <w:sz w:val="20"/>
                <w:szCs w:val="20"/>
              </w:rPr>
              <w:t>0.3</w:t>
            </w:r>
          </w:p>
        </w:tc>
        <w:tc>
          <w:tcPr>
            <w:tcW w:w="0" w:type="auto"/>
            <w:shd w:val="clear" w:color="auto" w:fill="FFFFFF"/>
            <w:tcMar>
              <w:top w:w="120" w:type="dxa"/>
              <w:left w:w="120" w:type="dxa"/>
              <w:bottom w:w="120" w:type="dxa"/>
              <w:right w:w="120" w:type="dxa"/>
            </w:tcMar>
            <w:hideMark/>
          </w:tcPr>
          <w:p w14:paraId="29A9DAFF" w14:textId="77777777" w:rsidR="00392045" w:rsidRPr="008D47B7" w:rsidRDefault="00392045" w:rsidP="002B2366">
            <w:pPr>
              <w:rPr>
                <w:sz w:val="20"/>
                <w:szCs w:val="20"/>
              </w:rPr>
            </w:pPr>
            <w:r w:rsidRPr="008D47B7">
              <w:rPr>
                <w:sz w:val="20"/>
                <w:szCs w:val="20"/>
              </w:rPr>
              <w:t>.953</w:t>
            </w:r>
          </w:p>
        </w:tc>
      </w:tr>
      <w:tr w:rsidR="00392045" w:rsidRPr="008D47B7" w14:paraId="149A7988" w14:textId="77777777" w:rsidTr="002B2366">
        <w:trPr>
          <w:trHeight w:val="57"/>
        </w:trPr>
        <w:tc>
          <w:tcPr>
            <w:tcW w:w="1701" w:type="dxa"/>
            <w:vMerge/>
            <w:shd w:val="clear" w:color="auto" w:fill="FFFFFF"/>
            <w:vAlign w:val="center"/>
            <w:hideMark/>
          </w:tcPr>
          <w:p w14:paraId="50633622"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09209DAE" w14:textId="77777777" w:rsidR="00392045" w:rsidRPr="008D47B7" w:rsidRDefault="00392045" w:rsidP="002B2366">
            <w:pPr>
              <w:rPr>
                <w:sz w:val="20"/>
                <w:szCs w:val="20"/>
              </w:rPr>
            </w:pPr>
            <w:r w:rsidRPr="008D47B7">
              <w:rPr>
                <w:sz w:val="20"/>
                <w:szCs w:val="20"/>
              </w:rPr>
              <w:t>Motor</w:t>
            </w:r>
          </w:p>
        </w:tc>
        <w:tc>
          <w:tcPr>
            <w:tcW w:w="1474" w:type="dxa"/>
            <w:shd w:val="clear" w:color="auto" w:fill="FFFFFF"/>
            <w:tcMar>
              <w:top w:w="120" w:type="dxa"/>
              <w:left w:w="120" w:type="dxa"/>
              <w:bottom w:w="120" w:type="dxa"/>
              <w:right w:w="120" w:type="dxa"/>
            </w:tcMar>
            <w:hideMark/>
          </w:tcPr>
          <w:p w14:paraId="434DE232" w14:textId="77777777" w:rsidR="00392045" w:rsidRPr="008D47B7" w:rsidRDefault="00392045" w:rsidP="002B2366">
            <w:pPr>
              <w:rPr>
                <w:sz w:val="20"/>
                <w:szCs w:val="20"/>
              </w:rPr>
            </w:pPr>
            <w:r w:rsidRPr="008D47B7">
              <w:rPr>
                <w:sz w:val="20"/>
                <w:szCs w:val="20"/>
              </w:rPr>
              <w:t>20.08 (2.65)</w:t>
            </w:r>
          </w:p>
        </w:tc>
        <w:tc>
          <w:tcPr>
            <w:tcW w:w="1587" w:type="dxa"/>
            <w:shd w:val="clear" w:color="auto" w:fill="FFFFFF"/>
            <w:tcMar>
              <w:top w:w="120" w:type="dxa"/>
              <w:left w:w="120" w:type="dxa"/>
              <w:bottom w:w="120" w:type="dxa"/>
              <w:right w:w="120" w:type="dxa"/>
            </w:tcMar>
            <w:hideMark/>
          </w:tcPr>
          <w:p w14:paraId="1DEB64AB" w14:textId="77777777" w:rsidR="00392045" w:rsidRPr="008D47B7" w:rsidRDefault="00392045" w:rsidP="002B2366">
            <w:pPr>
              <w:rPr>
                <w:sz w:val="20"/>
                <w:szCs w:val="20"/>
              </w:rPr>
            </w:pPr>
            <w:r w:rsidRPr="008D47B7">
              <w:rPr>
                <w:sz w:val="20"/>
                <w:szCs w:val="20"/>
              </w:rPr>
              <w:t>20.85 (3.38)</w:t>
            </w:r>
          </w:p>
        </w:tc>
        <w:tc>
          <w:tcPr>
            <w:tcW w:w="0" w:type="auto"/>
            <w:shd w:val="clear" w:color="auto" w:fill="FFFFFF"/>
            <w:tcMar>
              <w:top w:w="120" w:type="dxa"/>
              <w:left w:w="120" w:type="dxa"/>
              <w:bottom w:w="120" w:type="dxa"/>
              <w:right w:w="120" w:type="dxa"/>
            </w:tcMar>
            <w:hideMark/>
          </w:tcPr>
          <w:p w14:paraId="6A81B90E" w14:textId="77777777" w:rsidR="00392045" w:rsidRPr="008D47B7" w:rsidRDefault="00392045" w:rsidP="002B2366">
            <w:pPr>
              <w:rPr>
                <w:sz w:val="20"/>
                <w:szCs w:val="20"/>
              </w:rPr>
            </w:pPr>
            <w:r w:rsidRPr="008D47B7">
              <w:rPr>
                <w:sz w:val="20"/>
                <w:szCs w:val="20"/>
              </w:rPr>
              <w:t>0.39</w:t>
            </w:r>
          </w:p>
        </w:tc>
        <w:tc>
          <w:tcPr>
            <w:tcW w:w="0" w:type="auto"/>
            <w:shd w:val="clear" w:color="auto" w:fill="FFFFFF"/>
            <w:tcMar>
              <w:top w:w="120" w:type="dxa"/>
              <w:left w:w="120" w:type="dxa"/>
              <w:bottom w:w="120" w:type="dxa"/>
              <w:right w:w="120" w:type="dxa"/>
            </w:tcMar>
            <w:hideMark/>
          </w:tcPr>
          <w:p w14:paraId="0DA52C20" w14:textId="77777777" w:rsidR="00392045" w:rsidRPr="008D47B7" w:rsidRDefault="00392045" w:rsidP="002B2366">
            <w:pPr>
              <w:rPr>
                <w:sz w:val="20"/>
                <w:szCs w:val="20"/>
              </w:rPr>
            </w:pPr>
            <w:r w:rsidRPr="008D47B7">
              <w:rPr>
                <w:sz w:val="20"/>
                <w:szCs w:val="20"/>
              </w:rPr>
              <w:t>.398</w:t>
            </w:r>
          </w:p>
        </w:tc>
      </w:tr>
      <w:tr w:rsidR="00392045" w:rsidRPr="008D47B7" w14:paraId="4552FD06" w14:textId="77777777" w:rsidTr="002B2366">
        <w:trPr>
          <w:trHeight w:val="57"/>
        </w:trPr>
        <w:tc>
          <w:tcPr>
            <w:tcW w:w="1701" w:type="dxa"/>
            <w:vMerge/>
            <w:tcBorders>
              <w:bottom w:val="single" w:sz="4" w:space="0" w:color="BFBFBF" w:themeColor="background1" w:themeShade="BF"/>
            </w:tcBorders>
            <w:shd w:val="clear" w:color="auto" w:fill="FFFFFF"/>
            <w:vAlign w:val="center"/>
            <w:hideMark/>
          </w:tcPr>
          <w:p w14:paraId="053508D6" w14:textId="77777777" w:rsidR="00392045" w:rsidRPr="008D47B7" w:rsidRDefault="00392045" w:rsidP="002B2366">
            <w:pPr>
              <w:rPr>
                <w:sz w:val="20"/>
                <w:szCs w:val="20"/>
              </w:rPr>
            </w:pP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5EA0B695" w14:textId="77777777" w:rsidR="00392045" w:rsidRPr="008D47B7" w:rsidRDefault="00392045" w:rsidP="002B2366">
            <w:pPr>
              <w:rPr>
                <w:sz w:val="20"/>
                <w:szCs w:val="20"/>
              </w:rPr>
            </w:pPr>
            <w:r w:rsidRPr="008D47B7">
              <w:rPr>
                <w:sz w:val="20"/>
                <w:szCs w:val="20"/>
              </w:rPr>
              <w:t>Non-planning</w:t>
            </w:r>
          </w:p>
        </w:tc>
        <w:tc>
          <w:tcPr>
            <w:tcW w:w="1474" w:type="dxa"/>
            <w:tcBorders>
              <w:bottom w:val="single" w:sz="4" w:space="0" w:color="BFBFBF" w:themeColor="background1" w:themeShade="BF"/>
            </w:tcBorders>
            <w:shd w:val="clear" w:color="auto" w:fill="FFFFFF"/>
            <w:tcMar>
              <w:top w:w="120" w:type="dxa"/>
              <w:left w:w="120" w:type="dxa"/>
              <w:bottom w:w="120" w:type="dxa"/>
              <w:right w:w="120" w:type="dxa"/>
            </w:tcMar>
            <w:hideMark/>
          </w:tcPr>
          <w:p w14:paraId="56895ED9" w14:textId="77777777" w:rsidR="00392045" w:rsidRPr="008D47B7" w:rsidRDefault="00392045" w:rsidP="002B2366">
            <w:pPr>
              <w:rPr>
                <w:sz w:val="20"/>
                <w:szCs w:val="20"/>
              </w:rPr>
            </w:pPr>
            <w:r w:rsidRPr="008D47B7">
              <w:rPr>
                <w:sz w:val="20"/>
                <w:szCs w:val="20"/>
              </w:rPr>
              <w:t>22.21 (5.4)</w:t>
            </w:r>
          </w:p>
        </w:tc>
        <w:tc>
          <w:tcPr>
            <w:tcW w:w="1587" w:type="dxa"/>
            <w:tcBorders>
              <w:bottom w:val="single" w:sz="4" w:space="0" w:color="BFBFBF" w:themeColor="background1" w:themeShade="BF"/>
            </w:tcBorders>
            <w:shd w:val="clear" w:color="auto" w:fill="FFFFFF"/>
            <w:tcMar>
              <w:top w:w="120" w:type="dxa"/>
              <w:left w:w="120" w:type="dxa"/>
              <w:bottom w:w="120" w:type="dxa"/>
              <w:right w:w="120" w:type="dxa"/>
            </w:tcMar>
            <w:hideMark/>
          </w:tcPr>
          <w:p w14:paraId="6F089A2C" w14:textId="77777777" w:rsidR="00392045" w:rsidRPr="008D47B7" w:rsidRDefault="00392045" w:rsidP="002B2366">
            <w:pPr>
              <w:rPr>
                <w:sz w:val="20"/>
                <w:szCs w:val="20"/>
              </w:rPr>
            </w:pPr>
            <w:r w:rsidRPr="008D47B7">
              <w:rPr>
                <w:sz w:val="20"/>
                <w:szCs w:val="20"/>
              </w:rPr>
              <w:t>21.08 (4.44)</w:t>
            </w: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380F870A" w14:textId="77777777" w:rsidR="00392045" w:rsidRPr="008D47B7" w:rsidRDefault="00392045" w:rsidP="002B2366">
            <w:pPr>
              <w:rPr>
                <w:sz w:val="20"/>
                <w:szCs w:val="20"/>
              </w:rPr>
            </w:pPr>
            <w:r w:rsidRPr="008D47B7">
              <w:rPr>
                <w:sz w:val="20"/>
                <w:szCs w:val="20"/>
              </w:rPr>
              <w:t>0.38</w:t>
            </w: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46BC6A9E" w14:textId="77777777" w:rsidR="00392045" w:rsidRPr="008D47B7" w:rsidRDefault="00392045" w:rsidP="002B2366">
            <w:pPr>
              <w:rPr>
                <w:sz w:val="20"/>
                <w:szCs w:val="20"/>
              </w:rPr>
            </w:pPr>
            <w:r w:rsidRPr="008D47B7">
              <w:rPr>
                <w:sz w:val="20"/>
                <w:szCs w:val="20"/>
              </w:rPr>
              <w:t>.459</w:t>
            </w:r>
          </w:p>
        </w:tc>
      </w:tr>
      <w:tr w:rsidR="00392045" w:rsidRPr="008D47B7" w14:paraId="33B1620A" w14:textId="77777777" w:rsidTr="002B2366">
        <w:trPr>
          <w:trHeight w:val="57"/>
        </w:trPr>
        <w:tc>
          <w:tcPr>
            <w:tcW w:w="1701" w:type="dxa"/>
            <w:vMerge w:val="restart"/>
            <w:tcBorders>
              <w:top w:val="single" w:sz="4" w:space="0" w:color="BFBFBF" w:themeColor="background1" w:themeShade="BF"/>
            </w:tcBorders>
            <w:shd w:val="clear" w:color="auto" w:fill="FFFFFF"/>
            <w:tcMar>
              <w:top w:w="120" w:type="dxa"/>
              <w:left w:w="120" w:type="dxa"/>
              <w:bottom w:w="120" w:type="dxa"/>
              <w:right w:w="120" w:type="dxa"/>
            </w:tcMar>
            <w:vAlign w:val="center"/>
            <w:hideMark/>
          </w:tcPr>
          <w:p w14:paraId="1BC1AFEA" w14:textId="77777777" w:rsidR="00392045" w:rsidRPr="008D47B7" w:rsidRDefault="00392045" w:rsidP="002B2366">
            <w:pPr>
              <w:rPr>
                <w:sz w:val="20"/>
                <w:szCs w:val="20"/>
              </w:rPr>
            </w:pPr>
            <w:r w:rsidRPr="008D47B7">
              <w:rPr>
                <w:sz w:val="20"/>
                <w:szCs w:val="20"/>
              </w:rPr>
              <w:t>HADS</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70866A96" w14:textId="77777777" w:rsidR="00392045" w:rsidRPr="008D47B7" w:rsidRDefault="00392045" w:rsidP="002B2366">
            <w:pPr>
              <w:rPr>
                <w:sz w:val="20"/>
                <w:szCs w:val="20"/>
              </w:rPr>
            </w:pPr>
            <w:r w:rsidRPr="008D47B7">
              <w:rPr>
                <w:sz w:val="20"/>
                <w:szCs w:val="20"/>
              </w:rPr>
              <w:t>Anxiety</w:t>
            </w:r>
          </w:p>
        </w:tc>
        <w:tc>
          <w:tcPr>
            <w:tcW w:w="1474" w:type="dxa"/>
            <w:tcBorders>
              <w:top w:val="single" w:sz="4" w:space="0" w:color="BFBFBF" w:themeColor="background1" w:themeShade="BF"/>
            </w:tcBorders>
            <w:shd w:val="clear" w:color="auto" w:fill="FFFFFF"/>
            <w:tcMar>
              <w:top w:w="120" w:type="dxa"/>
              <w:left w:w="120" w:type="dxa"/>
              <w:bottom w:w="120" w:type="dxa"/>
              <w:right w:w="120" w:type="dxa"/>
            </w:tcMar>
            <w:hideMark/>
          </w:tcPr>
          <w:p w14:paraId="6FB400BD" w14:textId="77777777" w:rsidR="00392045" w:rsidRPr="008D47B7" w:rsidRDefault="00392045" w:rsidP="002B2366">
            <w:pPr>
              <w:rPr>
                <w:sz w:val="20"/>
                <w:szCs w:val="20"/>
              </w:rPr>
            </w:pPr>
            <w:r w:rsidRPr="008D47B7">
              <w:rPr>
                <w:sz w:val="20"/>
                <w:szCs w:val="20"/>
              </w:rPr>
              <w:t>4.53 (3.2)</w:t>
            </w:r>
          </w:p>
        </w:tc>
        <w:tc>
          <w:tcPr>
            <w:tcW w:w="1587" w:type="dxa"/>
            <w:tcBorders>
              <w:top w:val="single" w:sz="4" w:space="0" w:color="BFBFBF" w:themeColor="background1" w:themeShade="BF"/>
            </w:tcBorders>
            <w:shd w:val="clear" w:color="auto" w:fill="FFFFFF"/>
            <w:tcMar>
              <w:top w:w="120" w:type="dxa"/>
              <w:left w:w="120" w:type="dxa"/>
              <w:bottom w:w="120" w:type="dxa"/>
              <w:right w:w="120" w:type="dxa"/>
            </w:tcMar>
            <w:hideMark/>
          </w:tcPr>
          <w:p w14:paraId="678D436D" w14:textId="77777777" w:rsidR="00392045" w:rsidRPr="008D47B7" w:rsidRDefault="00392045" w:rsidP="002B2366">
            <w:pPr>
              <w:rPr>
                <w:sz w:val="20"/>
                <w:szCs w:val="20"/>
              </w:rPr>
            </w:pPr>
            <w:r w:rsidRPr="008D47B7">
              <w:rPr>
                <w:sz w:val="20"/>
                <w:szCs w:val="20"/>
              </w:rPr>
              <w:t>4.31 (3.53)</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316094AD" w14:textId="77777777" w:rsidR="00392045" w:rsidRPr="008D47B7" w:rsidRDefault="00392045" w:rsidP="002B2366">
            <w:pPr>
              <w:rPr>
                <w:sz w:val="20"/>
                <w:szCs w:val="20"/>
              </w:rPr>
            </w:pPr>
            <w:r w:rsidRPr="008D47B7">
              <w:rPr>
                <w:sz w:val="20"/>
                <w:szCs w:val="20"/>
              </w:rPr>
              <w:t>0.3</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61346FC9" w14:textId="77777777" w:rsidR="00392045" w:rsidRPr="008D47B7" w:rsidRDefault="00392045" w:rsidP="002B2366">
            <w:pPr>
              <w:rPr>
                <w:sz w:val="20"/>
                <w:szCs w:val="20"/>
              </w:rPr>
            </w:pPr>
            <w:r w:rsidRPr="008D47B7">
              <w:rPr>
                <w:sz w:val="20"/>
                <w:szCs w:val="20"/>
              </w:rPr>
              <w:t>.83</w:t>
            </w:r>
          </w:p>
        </w:tc>
      </w:tr>
      <w:tr w:rsidR="00392045" w:rsidRPr="008D47B7" w14:paraId="4576B3FD" w14:textId="77777777" w:rsidTr="002B2366">
        <w:trPr>
          <w:trHeight w:val="57"/>
        </w:trPr>
        <w:tc>
          <w:tcPr>
            <w:tcW w:w="1701" w:type="dxa"/>
            <w:vMerge/>
            <w:tcBorders>
              <w:bottom w:val="single" w:sz="4" w:space="0" w:color="BFBFBF" w:themeColor="background1" w:themeShade="BF"/>
            </w:tcBorders>
            <w:shd w:val="clear" w:color="auto" w:fill="FFFFFF"/>
            <w:vAlign w:val="center"/>
            <w:hideMark/>
          </w:tcPr>
          <w:p w14:paraId="370AE250" w14:textId="77777777" w:rsidR="00392045" w:rsidRPr="008D47B7" w:rsidRDefault="00392045" w:rsidP="002B2366">
            <w:pPr>
              <w:rPr>
                <w:sz w:val="20"/>
                <w:szCs w:val="20"/>
              </w:rPr>
            </w:pP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3798F83F" w14:textId="77777777" w:rsidR="00392045" w:rsidRPr="008D47B7" w:rsidRDefault="00392045" w:rsidP="002B2366">
            <w:pPr>
              <w:rPr>
                <w:sz w:val="20"/>
                <w:szCs w:val="20"/>
              </w:rPr>
            </w:pPr>
            <w:r w:rsidRPr="008D47B7">
              <w:rPr>
                <w:sz w:val="20"/>
                <w:szCs w:val="20"/>
              </w:rPr>
              <w:t>Depression</w:t>
            </w:r>
          </w:p>
        </w:tc>
        <w:tc>
          <w:tcPr>
            <w:tcW w:w="1474" w:type="dxa"/>
            <w:tcBorders>
              <w:bottom w:val="single" w:sz="4" w:space="0" w:color="BFBFBF" w:themeColor="background1" w:themeShade="BF"/>
            </w:tcBorders>
            <w:shd w:val="clear" w:color="auto" w:fill="FFFFFF"/>
            <w:tcMar>
              <w:top w:w="120" w:type="dxa"/>
              <w:left w:w="120" w:type="dxa"/>
              <w:bottom w:w="120" w:type="dxa"/>
              <w:right w:w="120" w:type="dxa"/>
            </w:tcMar>
            <w:hideMark/>
          </w:tcPr>
          <w:p w14:paraId="027852EC" w14:textId="77777777" w:rsidR="00392045" w:rsidRPr="008D47B7" w:rsidRDefault="00392045" w:rsidP="002B2366">
            <w:pPr>
              <w:rPr>
                <w:sz w:val="20"/>
                <w:szCs w:val="20"/>
              </w:rPr>
            </w:pPr>
            <w:r w:rsidRPr="008D47B7">
              <w:rPr>
                <w:sz w:val="20"/>
                <w:szCs w:val="20"/>
              </w:rPr>
              <w:t>3.95 (2.68)</w:t>
            </w:r>
          </w:p>
        </w:tc>
        <w:tc>
          <w:tcPr>
            <w:tcW w:w="1587" w:type="dxa"/>
            <w:tcBorders>
              <w:bottom w:val="single" w:sz="4" w:space="0" w:color="BFBFBF" w:themeColor="background1" w:themeShade="BF"/>
            </w:tcBorders>
            <w:shd w:val="clear" w:color="auto" w:fill="FFFFFF"/>
            <w:tcMar>
              <w:top w:w="120" w:type="dxa"/>
              <w:left w:w="120" w:type="dxa"/>
              <w:bottom w:w="120" w:type="dxa"/>
              <w:right w:w="120" w:type="dxa"/>
            </w:tcMar>
            <w:hideMark/>
          </w:tcPr>
          <w:p w14:paraId="5D11C687" w14:textId="77777777" w:rsidR="00392045" w:rsidRPr="008D47B7" w:rsidRDefault="00392045" w:rsidP="002B2366">
            <w:pPr>
              <w:rPr>
                <w:sz w:val="20"/>
                <w:szCs w:val="20"/>
              </w:rPr>
            </w:pPr>
            <w:r w:rsidRPr="008D47B7">
              <w:rPr>
                <w:sz w:val="20"/>
                <w:szCs w:val="20"/>
              </w:rPr>
              <w:t>2.88 (2.76)</w:t>
            </w: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0DFA1BFD" w14:textId="77777777" w:rsidR="00392045" w:rsidRPr="008D47B7" w:rsidRDefault="00392045" w:rsidP="002B2366">
            <w:pPr>
              <w:rPr>
                <w:sz w:val="20"/>
                <w:szCs w:val="20"/>
              </w:rPr>
            </w:pPr>
            <w:r w:rsidRPr="008D47B7">
              <w:rPr>
                <w:sz w:val="20"/>
                <w:szCs w:val="20"/>
              </w:rPr>
              <w:t>0.58</w:t>
            </w: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4F107574" w14:textId="77777777" w:rsidR="00392045" w:rsidRPr="008D47B7" w:rsidRDefault="00392045" w:rsidP="002B2366">
            <w:pPr>
              <w:rPr>
                <w:sz w:val="20"/>
                <w:szCs w:val="20"/>
              </w:rPr>
            </w:pPr>
            <w:r w:rsidRPr="008D47B7">
              <w:rPr>
                <w:sz w:val="20"/>
                <w:szCs w:val="20"/>
              </w:rPr>
              <w:t>.202</w:t>
            </w:r>
          </w:p>
        </w:tc>
      </w:tr>
      <w:tr w:rsidR="00392045" w:rsidRPr="008D47B7" w14:paraId="38C6EB98" w14:textId="77777777" w:rsidTr="002B2366">
        <w:trPr>
          <w:trHeight w:val="57"/>
        </w:trPr>
        <w:tc>
          <w:tcPr>
            <w:tcW w:w="1701" w:type="dxa"/>
            <w:vMerge w:val="restart"/>
            <w:tcBorders>
              <w:top w:val="single" w:sz="4" w:space="0" w:color="BFBFBF" w:themeColor="background1" w:themeShade="BF"/>
            </w:tcBorders>
            <w:shd w:val="clear" w:color="auto" w:fill="FFFFFF"/>
            <w:tcMar>
              <w:top w:w="120" w:type="dxa"/>
              <w:left w:w="120" w:type="dxa"/>
              <w:bottom w:w="120" w:type="dxa"/>
              <w:right w:w="120" w:type="dxa"/>
            </w:tcMar>
            <w:vAlign w:val="center"/>
            <w:hideMark/>
          </w:tcPr>
          <w:p w14:paraId="75E3CA5F" w14:textId="77777777" w:rsidR="00392045" w:rsidRPr="008D47B7" w:rsidRDefault="00392045" w:rsidP="002B2366">
            <w:pPr>
              <w:rPr>
                <w:sz w:val="20"/>
                <w:szCs w:val="20"/>
              </w:rPr>
            </w:pPr>
            <w:r w:rsidRPr="008D47B7">
              <w:rPr>
                <w:sz w:val="20"/>
                <w:szCs w:val="20"/>
              </w:rPr>
              <w:t>MEI</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3ED79A12" w14:textId="77777777" w:rsidR="00392045" w:rsidRPr="008D47B7" w:rsidRDefault="00392045" w:rsidP="002B2366">
            <w:pPr>
              <w:rPr>
                <w:sz w:val="20"/>
                <w:szCs w:val="20"/>
              </w:rPr>
            </w:pPr>
            <w:r w:rsidRPr="008D47B7">
              <w:rPr>
                <w:sz w:val="20"/>
                <w:szCs w:val="20"/>
              </w:rPr>
              <w:t>Total Score</w:t>
            </w:r>
          </w:p>
        </w:tc>
        <w:tc>
          <w:tcPr>
            <w:tcW w:w="1474" w:type="dxa"/>
            <w:tcBorders>
              <w:top w:val="single" w:sz="4" w:space="0" w:color="BFBFBF" w:themeColor="background1" w:themeShade="BF"/>
            </w:tcBorders>
            <w:shd w:val="clear" w:color="auto" w:fill="FFFFFF"/>
            <w:tcMar>
              <w:top w:w="120" w:type="dxa"/>
              <w:left w:w="120" w:type="dxa"/>
              <w:bottom w:w="120" w:type="dxa"/>
              <w:right w:w="120" w:type="dxa"/>
            </w:tcMar>
            <w:hideMark/>
          </w:tcPr>
          <w:p w14:paraId="703E6C3E" w14:textId="77777777" w:rsidR="00392045" w:rsidRPr="008D47B7" w:rsidRDefault="00392045" w:rsidP="002B2366">
            <w:pPr>
              <w:rPr>
                <w:sz w:val="20"/>
                <w:szCs w:val="20"/>
              </w:rPr>
            </w:pPr>
            <w:r w:rsidRPr="008D47B7">
              <w:rPr>
                <w:sz w:val="20"/>
                <w:szCs w:val="20"/>
              </w:rPr>
              <w:t>98.05 (21.3)</w:t>
            </w:r>
          </w:p>
        </w:tc>
        <w:tc>
          <w:tcPr>
            <w:tcW w:w="1587" w:type="dxa"/>
            <w:tcBorders>
              <w:top w:val="single" w:sz="4" w:space="0" w:color="BFBFBF" w:themeColor="background1" w:themeShade="BF"/>
            </w:tcBorders>
            <w:shd w:val="clear" w:color="auto" w:fill="FFFFFF"/>
            <w:tcMar>
              <w:top w:w="120" w:type="dxa"/>
              <w:left w:w="120" w:type="dxa"/>
              <w:bottom w:w="120" w:type="dxa"/>
              <w:right w:w="120" w:type="dxa"/>
            </w:tcMar>
            <w:hideMark/>
          </w:tcPr>
          <w:p w14:paraId="25CB8035" w14:textId="77777777" w:rsidR="00392045" w:rsidRPr="008D47B7" w:rsidRDefault="00392045" w:rsidP="002B2366">
            <w:pPr>
              <w:rPr>
                <w:sz w:val="20"/>
                <w:szCs w:val="20"/>
              </w:rPr>
            </w:pPr>
            <w:r w:rsidRPr="008D47B7">
              <w:rPr>
                <w:sz w:val="20"/>
                <w:szCs w:val="20"/>
              </w:rPr>
              <w:t>108.96 (16.71)</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0B024A7F" w14:textId="77777777" w:rsidR="00392045" w:rsidRPr="008D47B7" w:rsidRDefault="00392045" w:rsidP="002B2366">
            <w:pPr>
              <w:rPr>
                <w:sz w:val="20"/>
                <w:szCs w:val="20"/>
              </w:rPr>
            </w:pPr>
            <w:r w:rsidRPr="008D47B7">
              <w:rPr>
                <w:sz w:val="20"/>
                <w:szCs w:val="20"/>
              </w:rPr>
              <w:t>1.29</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71F0AA6C" w14:textId="77777777" w:rsidR="00392045" w:rsidRPr="008D47B7" w:rsidRDefault="00392045" w:rsidP="002B2366">
            <w:pPr>
              <w:rPr>
                <w:sz w:val="20"/>
                <w:szCs w:val="20"/>
              </w:rPr>
            </w:pPr>
            <w:r w:rsidRPr="008D47B7">
              <w:rPr>
                <w:sz w:val="20"/>
                <w:szCs w:val="20"/>
              </w:rPr>
              <w:t>.073</w:t>
            </w:r>
          </w:p>
        </w:tc>
      </w:tr>
      <w:tr w:rsidR="00392045" w:rsidRPr="008D47B7" w14:paraId="2B119BBF" w14:textId="77777777" w:rsidTr="002B2366">
        <w:trPr>
          <w:trHeight w:val="57"/>
        </w:trPr>
        <w:tc>
          <w:tcPr>
            <w:tcW w:w="1701" w:type="dxa"/>
            <w:vMerge/>
            <w:shd w:val="clear" w:color="auto" w:fill="FFFFFF"/>
            <w:vAlign w:val="center"/>
            <w:hideMark/>
          </w:tcPr>
          <w:p w14:paraId="4248F186"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03666A37" w14:textId="77777777" w:rsidR="00392045" w:rsidRPr="008D47B7" w:rsidRDefault="00392045" w:rsidP="002B2366">
            <w:pPr>
              <w:rPr>
                <w:sz w:val="20"/>
                <w:szCs w:val="20"/>
              </w:rPr>
            </w:pPr>
            <w:r w:rsidRPr="008D47B7">
              <w:rPr>
                <w:sz w:val="20"/>
                <w:szCs w:val="20"/>
              </w:rPr>
              <w:t>Mental</w:t>
            </w:r>
          </w:p>
        </w:tc>
        <w:tc>
          <w:tcPr>
            <w:tcW w:w="1474" w:type="dxa"/>
            <w:shd w:val="clear" w:color="auto" w:fill="FFFFFF"/>
            <w:tcMar>
              <w:top w:w="120" w:type="dxa"/>
              <w:left w:w="120" w:type="dxa"/>
              <w:bottom w:w="120" w:type="dxa"/>
              <w:right w:w="120" w:type="dxa"/>
            </w:tcMar>
            <w:hideMark/>
          </w:tcPr>
          <w:p w14:paraId="0B056CDE" w14:textId="77777777" w:rsidR="00392045" w:rsidRPr="008D47B7" w:rsidRDefault="00392045" w:rsidP="002B2366">
            <w:pPr>
              <w:rPr>
                <w:sz w:val="20"/>
                <w:szCs w:val="20"/>
              </w:rPr>
            </w:pPr>
            <w:r w:rsidRPr="008D47B7">
              <w:rPr>
                <w:sz w:val="20"/>
                <w:szCs w:val="20"/>
              </w:rPr>
              <w:t>44.11 (8.97)</w:t>
            </w:r>
          </w:p>
        </w:tc>
        <w:tc>
          <w:tcPr>
            <w:tcW w:w="1587" w:type="dxa"/>
            <w:shd w:val="clear" w:color="auto" w:fill="FFFFFF"/>
            <w:tcMar>
              <w:top w:w="120" w:type="dxa"/>
              <w:left w:w="120" w:type="dxa"/>
              <w:bottom w:w="120" w:type="dxa"/>
              <w:right w:w="120" w:type="dxa"/>
            </w:tcMar>
            <w:hideMark/>
          </w:tcPr>
          <w:p w14:paraId="6A2E2C8E" w14:textId="77777777" w:rsidR="00392045" w:rsidRPr="008D47B7" w:rsidRDefault="00392045" w:rsidP="002B2366">
            <w:pPr>
              <w:rPr>
                <w:sz w:val="20"/>
                <w:szCs w:val="20"/>
              </w:rPr>
            </w:pPr>
            <w:r w:rsidRPr="008D47B7">
              <w:rPr>
                <w:sz w:val="20"/>
                <w:szCs w:val="20"/>
              </w:rPr>
              <w:t>47.35 (8.09)</w:t>
            </w:r>
          </w:p>
        </w:tc>
        <w:tc>
          <w:tcPr>
            <w:tcW w:w="0" w:type="auto"/>
            <w:shd w:val="clear" w:color="auto" w:fill="FFFFFF"/>
            <w:tcMar>
              <w:top w:w="120" w:type="dxa"/>
              <w:left w:w="120" w:type="dxa"/>
              <w:bottom w:w="120" w:type="dxa"/>
              <w:right w:w="120" w:type="dxa"/>
            </w:tcMar>
            <w:hideMark/>
          </w:tcPr>
          <w:p w14:paraId="08702E5D" w14:textId="77777777" w:rsidR="00392045" w:rsidRPr="008D47B7" w:rsidRDefault="00392045" w:rsidP="002B2366">
            <w:pPr>
              <w:rPr>
                <w:sz w:val="20"/>
                <w:szCs w:val="20"/>
              </w:rPr>
            </w:pPr>
            <w:r w:rsidRPr="008D47B7">
              <w:rPr>
                <w:sz w:val="20"/>
                <w:szCs w:val="20"/>
              </w:rPr>
              <w:t>0.57</w:t>
            </w:r>
          </w:p>
        </w:tc>
        <w:tc>
          <w:tcPr>
            <w:tcW w:w="0" w:type="auto"/>
            <w:shd w:val="clear" w:color="auto" w:fill="FFFFFF"/>
            <w:tcMar>
              <w:top w:w="120" w:type="dxa"/>
              <w:left w:w="120" w:type="dxa"/>
              <w:bottom w:w="120" w:type="dxa"/>
              <w:right w:w="120" w:type="dxa"/>
            </w:tcMar>
            <w:hideMark/>
          </w:tcPr>
          <w:p w14:paraId="52AF530B" w14:textId="77777777" w:rsidR="00392045" w:rsidRPr="008D47B7" w:rsidRDefault="00392045" w:rsidP="002B2366">
            <w:pPr>
              <w:rPr>
                <w:sz w:val="20"/>
                <w:szCs w:val="20"/>
              </w:rPr>
            </w:pPr>
            <w:r w:rsidRPr="008D47B7">
              <w:rPr>
                <w:sz w:val="20"/>
                <w:szCs w:val="20"/>
              </w:rPr>
              <w:t>.22</w:t>
            </w:r>
          </w:p>
        </w:tc>
      </w:tr>
      <w:tr w:rsidR="00392045" w:rsidRPr="008D47B7" w14:paraId="20CEEE58" w14:textId="77777777" w:rsidTr="002B2366">
        <w:trPr>
          <w:trHeight w:val="57"/>
        </w:trPr>
        <w:tc>
          <w:tcPr>
            <w:tcW w:w="1701" w:type="dxa"/>
            <w:vMerge/>
            <w:shd w:val="clear" w:color="auto" w:fill="FFFFFF"/>
            <w:vAlign w:val="center"/>
            <w:hideMark/>
          </w:tcPr>
          <w:p w14:paraId="5D90C48E"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15D15115" w14:textId="77777777" w:rsidR="00392045" w:rsidRPr="008D47B7" w:rsidRDefault="00392045" w:rsidP="002B2366">
            <w:pPr>
              <w:rPr>
                <w:sz w:val="20"/>
                <w:szCs w:val="20"/>
              </w:rPr>
            </w:pPr>
            <w:r w:rsidRPr="008D47B7">
              <w:rPr>
                <w:sz w:val="20"/>
                <w:szCs w:val="20"/>
              </w:rPr>
              <w:t>Physical</w:t>
            </w:r>
          </w:p>
        </w:tc>
        <w:tc>
          <w:tcPr>
            <w:tcW w:w="1474" w:type="dxa"/>
            <w:shd w:val="clear" w:color="auto" w:fill="FFFFFF"/>
            <w:tcMar>
              <w:top w:w="120" w:type="dxa"/>
              <w:left w:w="120" w:type="dxa"/>
              <w:bottom w:w="120" w:type="dxa"/>
              <w:right w:w="120" w:type="dxa"/>
            </w:tcMar>
            <w:hideMark/>
          </w:tcPr>
          <w:p w14:paraId="1A204FC6" w14:textId="77777777" w:rsidR="00392045" w:rsidRPr="008D47B7" w:rsidRDefault="00392045" w:rsidP="002B2366">
            <w:pPr>
              <w:rPr>
                <w:sz w:val="20"/>
                <w:szCs w:val="20"/>
              </w:rPr>
            </w:pPr>
            <w:r w:rsidRPr="008D47B7">
              <w:rPr>
                <w:sz w:val="20"/>
                <w:szCs w:val="20"/>
              </w:rPr>
              <w:t>23.95 (6.95)</w:t>
            </w:r>
          </w:p>
        </w:tc>
        <w:tc>
          <w:tcPr>
            <w:tcW w:w="1587" w:type="dxa"/>
            <w:shd w:val="clear" w:color="auto" w:fill="FFFFFF"/>
            <w:tcMar>
              <w:top w:w="120" w:type="dxa"/>
              <w:left w:w="120" w:type="dxa"/>
              <w:bottom w:w="120" w:type="dxa"/>
              <w:right w:w="120" w:type="dxa"/>
            </w:tcMar>
            <w:hideMark/>
          </w:tcPr>
          <w:p w14:paraId="64A11ACC" w14:textId="77777777" w:rsidR="00392045" w:rsidRPr="00AE7810" w:rsidRDefault="00392045" w:rsidP="002B2366">
            <w:pPr>
              <w:rPr>
                <w:sz w:val="20"/>
                <w:szCs w:val="20"/>
              </w:rPr>
            </w:pPr>
            <w:r w:rsidRPr="00AE7810">
              <w:rPr>
                <w:sz w:val="20"/>
                <w:szCs w:val="20"/>
              </w:rPr>
              <w:t>29.35 (5.91)</w:t>
            </w:r>
          </w:p>
        </w:tc>
        <w:tc>
          <w:tcPr>
            <w:tcW w:w="0" w:type="auto"/>
            <w:shd w:val="clear" w:color="auto" w:fill="FFFFFF"/>
            <w:tcMar>
              <w:top w:w="120" w:type="dxa"/>
              <w:left w:w="120" w:type="dxa"/>
              <w:bottom w:w="120" w:type="dxa"/>
              <w:right w:w="120" w:type="dxa"/>
            </w:tcMar>
            <w:hideMark/>
          </w:tcPr>
          <w:p w14:paraId="138DE2F9" w14:textId="77777777" w:rsidR="00392045" w:rsidRPr="00AE7810" w:rsidRDefault="00392045" w:rsidP="002B2366">
            <w:pPr>
              <w:rPr>
                <w:sz w:val="20"/>
                <w:szCs w:val="20"/>
              </w:rPr>
            </w:pPr>
            <w:r w:rsidRPr="00AE7810">
              <w:rPr>
                <w:sz w:val="20"/>
                <w:szCs w:val="20"/>
              </w:rPr>
              <w:t>6.18</w:t>
            </w:r>
          </w:p>
        </w:tc>
        <w:tc>
          <w:tcPr>
            <w:tcW w:w="0" w:type="auto"/>
            <w:shd w:val="clear" w:color="auto" w:fill="FFFFFF"/>
            <w:tcMar>
              <w:top w:w="120" w:type="dxa"/>
              <w:left w:w="120" w:type="dxa"/>
              <w:bottom w:w="120" w:type="dxa"/>
              <w:right w:w="120" w:type="dxa"/>
            </w:tcMar>
            <w:hideMark/>
          </w:tcPr>
          <w:p w14:paraId="45491C49" w14:textId="77777777" w:rsidR="00392045" w:rsidRPr="00AE7810" w:rsidRDefault="00392045" w:rsidP="002B2366">
            <w:pPr>
              <w:rPr>
                <w:sz w:val="20"/>
                <w:szCs w:val="20"/>
              </w:rPr>
            </w:pPr>
            <w:r w:rsidRPr="00AE7810">
              <w:rPr>
                <w:sz w:val="20"/>
                <w:szCs w:val="20"/>
              </w:rPr>
              <w:t>.01</w:t>
            </w:r>
          </w:p>
        </w:tc>
      </w:tr>
      <w:tr w:rsidR="00392045" w:rsidRPr="008D47B7" w14:paraId="7363972E" w14:textId="77777777" w:rsidTr="002B2366">
        <w:trPr>
          <w:trHeight w:val="57"/>
        </w:trPr>
        <w:tc>
          <w:tcPr>
            <w:tcW w:w="1701" w:type="dxa"/>
            <w:vMerge/>
            <w:tcBorders>
              <w:bottom w:val="single" w:sz="4" w:space="0" w:color="BFBFBF" w:themeColor="background1" w:themeShade="BF"/>
            </w:tcBorders>
            <w:shd w:val="clear" w:color="auto" w:fill="FFFFFF"/>
            <w:vAlign w:val="center"/>
            <w:hideMark/>
          </w:tcPr>
          <w:p w14:paraId="3D9A66EF" w14:textId="77777777" w:rsidR="00392045" w:rsidRPr="008D47B7" w:rsidRDefault="00392045" w:rsidP="002B2366">
            <w:pPr>
              <w:rPr>
                <w:sz w:val="20"/>
                <w:szCs w:val="20"/>
              </w:rPr>
            </w:pP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676BA4CE" w14:textId="77777777" w:rsidR="00392045" w:rsidRPr="008D47B7" w:rsidRDefault="00392045" w:rsidP="002B2366">
            <w:pPr>
              <w:rPr>
                <w:sz w:val="20"/>
                <w:szCs w:val="20"/>
              </w:rPr>
            </w:pPr>
            <w:r w:rsidRPr="008D47B7">
              <w:rPr>
                <w:sz w:val="20"/>
                <w:szCs w:val="20"/>
              </w:rPr>
              <w:t>Social</w:t>
            </w:r>
          </w:p>
        </w:tc>
        <w:tc>
          <w:tcPr>
            <w:tcW w:w="1474" w:type="dxa"/>
            <w:tcBorders>
              <w:bottom w:val="single" w:sz="4" w:space="0" w:color="BFBFBF" w:themeColor="background1" w:themeShade="BF"/>
            </w:tcBorders>
            <w:shd w:val="clear" w:color="auto" w:fill="FFFFFF"/>
            <w:tcMar>
              <w:top w:w="120" w:type="dxa"/>
              <w:left w:w="120" w:type="dxa"/>
              <w:bottom w:w="120" w:type="dxa"/>
              <w:right w:w="120" w:type="dxa"/>
            </w:tcMar>
            <w:hideMark/>
          </w:tcPr>
          <w:p w14:paraId="279E65B4" w14:textId="77777777" w:rsidR="00392045" w:rsidRPr="008D47B7" w:rsidRDefault="00392045" w:rsidP="002B2366">
            <w:pPr>
              <w:rPr>
                <w:sz w:val="20"/>
                <w:szCs w:val="20"/>
              </w:rPr>
            </w:pPr>
            <w:r w:rsidRPr="008D47B7">
              <w:rPr>
                <w:sz w:val="20"/>
                <w:szCs w:val="20"/>
              </w:rPr>
              <w:t>30 (7.34)</w:t>
            </w:r>
          </w:p>
        </w:tc>
        <w:tc>
          <w:tcPr>
            <w:tcW w:w="1587" w:type="dxa"/>
            <w:tcBorders>
              <w:bottom w:val="single" w:sz="4" w:space="0" w:color="BFBFBF" w:themeColor="background1" w:themeShade="BF"/>
            </w:tcBorders>
            <w:shd w:val="clear" w:color="auto" w:fill="FFFFFF"/>
            <w:tcMar>
              <w:top w:w="120" w:type="dxa"/>
              <w:left w:w="120" w:type="dxa"/>
              <w:bottom w:w="120" w:type="dxa"/>
              <w:right w:w="120" w:type="dxa"/>
            </w:tcMar>
            <w:hideMark/>
          </w:tcPr>
          <w:p w14:paraId="02B06F54" w14:textId="77777777" w:rsidR="00392045" w:rsidRPr="008D47B7" w:rsidRDefault="00392045" w:rsidP="002B2366">
            <w:pPr>
              <w:rPr>
                <w:sz w:val="20"/>
                <w:szCs w:val="20"/>
              </w:rPr>
            </w:pPr>
            <w:r w:rsidRPr="008D47B7">
              <w:rPr>
                <w:sz w:val="20"/>
                <w:szCs w:val="20"/>
              </w:rPr>
              <w:t>32.27 (5.31)</w:t>
            </w: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45ABA130" w14:textId="77777777" w:rsidR="00392045" w:rsidRPr="008D47B7" w:rsidRDefault="00392045" w:rsidP="002B2366">
            <w:pPr>
              <w:rPr>
                <w:sz w:val="20"/>
                <w:szCs w:val="20"/>
              </w:rPr>
            </w:pPr>
            <w:r w:rsidRPr="008D47B7">
              <w:rPr>
                <w:sz w:val="20"/>
                <w:szCs w:val="20"/>
              </w:rPr>
              <w:t>0.53</w:t>
            </w: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645386B4" w14:textId="77777777" w:rsidR="00392045" w:rsidRPr="008D47B7" w:rsidRDefault="00392045" w:rsidP="002B2366">
            <w:pPr>
              <w:rPr>
                <w:sz w:val="20"/>
                <w:szCs w:val="20"/>
              </w:rPr>
            </w:pPr>
            <w:r w:rsidRPr="008D47B7">
              <w:rPr>
                <w:sz w:val="20"/>
                <w:szCs w:val="20"/>
              </w:rPr>
              <w:t>.261</w:t>
            </w:r>
          </w:p>
        </w:tc>
      </w:tr>
      <w:tr w:rsidR="00392045" w:rsidRPr="008D47B7" w14:paraId="47D229B2" w14:textId="77777777" w:rsidTr="002B2366">
        <w:trPr>
          <w:trHeight w:val="57"/>
        </w:trPr>
        <w:tc>
          <w:tcPr>
            <w:tcW w:w="1701" w:type="dxa"/>
            <w:vMerge w:val="restart"/>
            <w:tcBorders>
              <w:top w:val="single" w:sz="4" w:space="0" w:color="BFBFBF" w:themeColor="background1" w:themeShade="BF"/>
            </w:tcBorders>
            <w:shd w:val="clear" w:color="auto" w:fill="FFFFFF"/>
            <w:tcMar>
              <w:top w:w="120" w:type="dxa"/>
              <w:left w:w="120" w:type="dxa"/>
              <w:bottom w:w="120" w:type="dxa"/>
              <w:right w:w="120" w:type="dxa"/>
            </w:tcMar>
            <w:vAlign w:val="center"/>
            <w:hideMark/>
          </w:tcPr>
          <w:p w14:paraId="4EABC036" w14:textId="77777777" w:rsidR="00392045" w:rsidRPr="008D47B7" w:rsidRDefault="00392045" w:rsidP="002B2366">
            <w:pPr>
              <w:rPr>
                <w:sz w:val="20"/>
                <w:szCs w:val="20"/>
              </w:rPr>
            </w:pPr>
            <w:r w:rsidRPr="008D47B7">
              <w:rPr>
                <w:sz w:val="20"/>
                <w:szCs w:val="20"/>
              </w:rPr>
              <w:t>CAARS</w:t>
            </w:r>
            <w:r>
              <w:rPr>
                <w:sz w:val="20"/>
                <w:szCs w:val="20"/>
              </w:rPr>
              <w:br/>
            </w:r>
            <w:r w:rsidRPr="008D47B7">
              <w:rPr>
                <w:sz w:val="20"/>
                <w:szCs w:val="20"/>
              </w:rPr>
              <w:t>(self-rated)</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2DF9C53D" w14:textId="77777777" w:rsidR="00392045" w:rsidRPr="008D47B7" w:rsidRDefault="00392045" w:rsidP="002B2366">
            <w:pPr>
              <w:rPr>
                <w:sz w:val="20"/>
                <w:szCs w:val="20"/>
              </w:rPr>
            </w:pPr>
            <w:r w:rsidRPr="008D47B7">
              <w:rPr>
                <w:sz w:val="20"/>
                <w:szCs w:val="20"/>
              </w:rPr>
              <w:t>Inattention / Memory Problems</w:t>
            </w:r>
          </w:p>
        </w:tc>
        <w:tc>
          <w:tcPr>
            <w:tcW w:w="1474" w:type="dxa"/>
            <w:tcBorders>
              <w:top w:val="single" w:sz="4" w:space="0" w:color="BFBFBF" w:themeColor="background1" w:themeShade="BF"/>
            </w:tcBorders>
            <w:shd w:val="clear" w:color="auto" w:fill="FFFFFF"/>
            <w:tcMar>
              <w:top w:w="120" w:type="dxa"/>
              <w:left w:w="120" w:type="dxa"/>
              <w:bottom w:w="120" w:type="dxa"/>
              <w:right w:w="120" w:type="dxa"/>
            </w:tcMar>
            <w:hideMark/>
          </w:tcPr>
          <w:p w14:paraId="62108508" w14:textId="77777777" w:rsidR="00392045" w:rsidRPr="008D47B7" w:rsidRDefault="00392045" w:rsidP="002B2366">
            <w:pPr>
              <w:rPr>
                <w:sz w:val="20"/>
                <w:szCs w:val="20"/>
              </w:rPr>
            </w:pPr>
            <w:r w:rsidRPr="008D47B7">
              <w:rPr>
                <w:sz w:val="20"/>
                <w:szCs w:val="20"/>
              </w:rPr>
              <w:t>5.42 (3.58)</w:t>
            </w:r>
          </w:p>
        </w:tc>
        <w:tc>
          <w:tcPr>
            <w:tcW w:w="1587" w:type="dxa"/>
            <w:tcBorders>
              <w:top w:val="single" w:sz="4" w:space="0" w:color="BFBFBF" w:themeColor="background1" w:themeShade="BF"/>
            </w:tcBorders>
            <w:shd w:val="clear" w:color="auto" w:fill="FFFFFF"/>
            <w:tcMar>
              <w:top w:w="120" w:type="dxa"/>
              <w:left w:w="120" w:type="dxa"/>
              <w:bottom w:w="120" w:type="dxa"/>
              <w:right w:w="120" w:type="dxa"/>
            </w:tcMar>
            <w:hideMark/>
          </w:tcPr>
          <w:p w14:paraId="2ECC75E0" w14:textId="77777777" w:rsidR="00392045" w:rsidRPr="008D47B7" w:rsidRDefault="00392045" w:rsidP="002B2366">
            <w:pPr>
              <w:rPr>
                <w:sz w:val="20"/>
                <w:szCs w:val="20"/>
              </w:rPr>
            </w:pPr>
            <w:r w:rsidRPr="008D47B7">
              <w:rPr>
                <w:sz w:val="20"/>
                <w:szCs w:val="20"/>
              </w:rPr>
              <w:t>4.19 (3.06)</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74D2D06A" w14:textId="77777777" w:rsidR="00392045" w:rsidRPr="008D47B7" w:rsidRDefault="00392045" w:rsidP="002B2366">
            <w:pPr>
              <w:rPr>
                <w:sz w:val="20"/>
                <w:szCs w:val="20"/>
              </w:rPr>
            </w:pPr>
            <w:r w:rsidRPr="008D47B7">
              <w:rPr>
                <w:sz w:val="20"/>
                <w:szCs w:val="20"/>
              </w:rPr>
              <w:t>0.55</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56925BA2" w14:textId="77777777" w:rsidR="00392045" w:rsidRPr="008D47B7" w:rsidRDefault="00392045" w:rsidP="002B2366">
            <w:pPr>
              <w:rPr>
                <w:sz w:val="20"/>
                <w:szCs w:val="20"/>
              </w:rPr>
            </w:pPr>
            <w:r w:rsidRPr="008D47B7">
              <w:rPr>
                <w:sz w:val="20"/>
                <w:szCs w:val="20"/>
              </w:rPr>
              <w:t>.235</w:t>
            </w:r>
          </w:p>
        </w:tc>
      </w:tr>
      <w:tr w:rsidR="00392045" w:rsidRPr="008D47B7" w14:paraId="577FAC27" w14:textId="77777777" w:rsidTr="002B2366">
        <w:trPr>
          <w:trHeight w:val="57"/>
        </w:trPr>
        <w:tc>
          <w:tcPr>
            <w:tcW w:w="1701" w:type="dxa"/>
            <w:vMerge/>
            <w:shd w:val="clear" w:color="auto" w:fill="FFFFFF"/>
            <w:vAlign w:val="center"/>
            <w:hideMark/>
          </w:tcPr>
          <w:p w14:paraId="64967551"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7B1F9497" w14:textId="77777777" w:rsidR="00392045" w:rsidRPr="008D47B7" w:rsidRDefault="00392045" w:rsidP="002B2366">
            <w:pPr>
              <w:rPr>
                <w:sz w:val="20"/>
                <w:szCs w:val="20"/>
              </w:rPr>
            </w:pPr>
            <w:r w:rsidRPr="008D47B7">
              <w:rPr>
                <w:sz w:val="20"/>
                <w:szCs w:val="20"/>
              </w:rPr>
              <w:t>Hyperactivity / Restlessness</w:t>
            </w:r>
          </w:p>
        </w:tc>
        <w:tc>
          <w:tcPr>
            <w:tcW w:w="1474" w:type="dxa"/>
            <w:shd w:val="clear" w:color="auto" w:fill="FFFFFF"/>
            <w:tcMar>
              <w:top w:w="120" w:type="dxa"/>
              <w:left w:w="120" w:type="dxa"/>
              <w:bottom w:w="120" w:type="dxa"/>
              <w:right w:w="120" w:type="dxa"/>
            </w:tcMar>
            <w:hideMark/>
          </w:tcPr>
          <w:p w14:paraId="059461D7" w14:textId="77777777" w:rsidR="00392045" w:rsidRPr="008D47B7" w:rsidRDefault="00392045" w:rsidP="002B2366">
            <w:pPr>
              <w:rPr>
                <w:sz w:val="20"/>
                <w:szCs w:val="20"/>
              </w:rPr>
            </w:pPr>
            <w:r w:rsidRPr="008D47B7">
              <w:rPr>
                <w:sz w:val="20"/>
                <w:szCs w:val="20"/>
              </w:rPr>
              <w:t>3.11 (2.71)</w:t>
            </w:r>
          </w:p>
        </w:tc>
        <w:tc>
          <w:tcPr>
            <w:tcW w:w="1587" w:type="dxa"/>
            <w:shd w:val="clear" w:color="auto" w:fill="FFFFFF"/>
            <w:tcMar>
              <w:top w:w="120" w:type="dxa"/>
              <w:left w:w="120" w:type="dxa"/>
              <w:bottom w:w="120" w:type="dxa"/>
              <w:right w:w="120" w:type="dxa"/>
            </w:tcMar>
            <w:hideMark/>
          </w:tcPr>
          <w:p w14:paraId="287A27AF" w14:textId="77777777" w:rsidR="00392045" w:rsidRPr="008D47B7" w:rsidRDefault="00392045" w:rsidP="002B2366">
            <w:pPr>
              <w:rPr>
                <w:sz w:val="20"/>
                <w:szCs w:val="20"/>
              </w:rPr>
            </w:pPr>
            <w:r w:rsidRPr="008D47B7">
              <w:rPr>
                <w:sz w:val="20"/>
                <w:szCs w:val="20"/>
              </w:rPr>
              <w:t>2.77 (2.05)</w:t>
            </w:r>
          </w:p>
        </w:tc>
        <w:tc>
          <w:tcPr>
            <w:tcW w:w="0" w:type="auto"/>
            <w:shd w:val="clear" w:color="auto" w:fill="FFFFFF"/>
            <w:tcMar>
              <w:top w:w="120" w:type="dxa"/>
              <w:left w:w="120" w:type="dxa"/>
              <w:bottom w:w="120" w:type="dxa"/>
              <w:right w:w="120" w:type="dxa"/>
            </w:tcMar>
            <w:hideMark/>
          </w:tcPr>
          <w:p w14:paraId="71512F5A" w14:textId="77777777" w:rsidR="00392045" w:rsidRPr="008D47B7" w:rsidRDefault="00392045" w:rsidP="002B2366">
            <w:pPr>
              <w:rPr>
                <w:sz w:val="20"/>
                <w:szCs w:val="20"/>
              </w:rPr>
            </w:pPr>
            <w:r w:rsidRPr="008D47B7">
              <w:rPr>
                <w:sz w:val="20"/>
                <w:szCs w:val="20"/>
              </w:rPr>
              <w:t>0.33</w:t>
            </w:r>
          </w:p>
        </w:tc>
        <w:tc>
          <w:tcPr>
            <w:tcW w:w="0" w:type="auto"/>
            <w:shd w:val="clear" w:color="auto" w:fill="FFFFFF"/>
            <w:tcMar>
              <w:top w:w="120" w:type="dxa"/>
              <w:left w:w="120" w:type="dxa"/>
              <w:bottom w:w="120" w:type="dxa"/>
              <w:right w:w="120" w:type="dxa"/>
            </w:tcMar>
            <w:hideMark/>
          </w:tcPr>
          <w:p w14:paraId="5292742C" w14:textId="77777777" w:rsidR="00392045" w:rsidRPr="008D47B7" w:rsidRDefault="00392045" w:rsidP="002B2366">
            <w:pPr>
              <w:rPr>
                <w:sz w:val="20"/>
                <w:szCs w:val="20"/>
              </w:rPr>
            </w:pPr>
            <w:r w:rsidRPr="008D47B7">
              <w:rPr>
                <w:sz w:val="20"/>
                <w:szCs w:val="20"/>
              </w:rPr>
              <w:t>.652</w:t>
            </w:r>
          </w:p>
        </w:tc>
      </w:tr>
      <w:tr w:rsidR="00392045" w:rsidRPr="008D47B7" w14:paraId="2C456593" w14:textId="77777777" w:rsidTr="002B2366">
        <w:trPr>
          <w:trHeight w:val="57"/>
        </w:trPr>
        <w:tc>
          <w:tcPr>
            <w:tcW w:w="1701" w:type="dxa"/>
            <w:vMerge/>
            <w:shd w:val="clear" w:color="auto" w:fill="FFFFFF"/>
            <w:vAlign w:val="center"/>
            <w:hideMark/>
          </w:tcPr>
          <w:p w14:paraId="57FC2AC9"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000239F7" w14:textId="77777777" w:rsidR="00392045" w:rsidRPr="008D47B7" w:rsidRDefault="00392045" w:rsidP="002B2366">
            <w:pPr>
              <w:rPr>
                <w:sz w:val="20"/>
                <w:szCs w:val="20"/>
              </w:rPr>
            </w:pPr>
            <w:r w:rsidRPr="008D47B7">
              <w:rPr>
                <w:sz w:val="20"/>
                <w:szCs w:val="20"/>
              </w:rPr>
              <w:t>Impulsivity / Emotional Lability</w:t>
            </w:r>
          </w:p>
        </w:tc>
        <w:tc>
          <w:tcPr>
            <w:tcW w:w="1474" w:type="dxa"/>
            <w:shd w:val="clear" w:color="auto" w:fill="FFFFFF"/>
            <w:tcMar>
              <w:top w:w="120" w:type="dxa"/>
              <w:left w:w="120" w:type="dxa"/>
              <w:bottom w:w="120" w:type="dxa"/>
              <w:right w:w="120" w:type="dxa"/>
            </w:tcMar>
            <w:hideMark/>
          </w:tcPr>
          <w:p w14:paraId="70765D25" w14:textId="77777777" w:rsidR="00392045" w:rsidRPr="008D47B7" w:rsidRDefault="00392045" w:rsidP="002B2366">
            <w:pPr>
              <w:rPr>
                <w:sz w:val="20"/>
                <w:szCs w:val="20"/>
              </w:rPr>
            </w:pPr>
            <w:r w:rsidRPr="008D47B7">
              <w:rPr>
                <w:sz w:val="20"/>
                <w:szCs w:val="20"/>
              </w:rPr>
              <w:t>1.84 (1.5)</w:t>
            </w:r>
          </w:p>
        </w:tc>
        <w:tc>
          <w:tcPr>
            <w:tcW w:w="1587" w:type="dxa"/>
            <w:shd w:val="clear" w:color="auto" w:fill="FFFFFF"/>
            <w:tcMar>
              <w:top w:w="120" w:type="dxa"/>
              <w:left w:w="120" w:type="dxa"/>
              <w:bottom w:w="120" w:type="dxa"/>
              <w:right w:w="120" w:type="dxa"/>
            </w:tcMar>
            <w:hideMark/>
          </w:tcPr>
          <w:p w14:paraId="07E038ED" w14:textId="77777777" w:rsidR="00392045" w:rsidRPr="008D47B7" w:rsidRDefault="00392045" w:rsidP="002B2366">
            <w:pPr>
              <w:rPr>
                <w:sz w:val="20"/>
                <w:szCs w:val="20"/>
              </w:rPr>
            </w:pPr>
            <w:r w:rsidRPr="008D47B7">
              <w:rPr>
                <w:sz w:val="20"/>
                <w:szCs w:val="20"/>
              </w:rPr>
              <w:t>2.77 (2.05)</w:t>
            </w:r>
          </w:p>
        </w:tc>
        <w:tc>
          <w:tcPr>
            <w:tcW w:w="0" w:type="auto"/>
            <w:shd w:val="clear" w:color="auto" w:fill="FFFFFF"/>
            <w:tcMar>
              <w:top w:w="120" w:type="dxa"/>
              <w:left w:w="120" w:type="dxa"/>
              <w:bottom w:w="120" w:type="dxa"/>
              <w:right w:w="120" w:type="dxa"/>
            </w:tcMar>
            <w:hideMark/>
          </w:tcPr>
          <w:p w14:paraId="3FF48D53" w14:textId="77777777" w:rsidR="00392045" w:rsidRPr="008D47B7" w:rsidRDefault="00392045" w:rsidP="002B2366">
            <w:pPr>
              <w:rPr>
                <w:sz w:val="20"/>
                <w:szCs w:val="20"/>
              </w:rPr>
            </w:pPr>
            <w:r w:rsidRPr="008D47B7">
              <w:rPr>
                <w:sz w:val="20"/>
                <w:szCs w:val="20"/>
              </w:rPr>
              <w:t>0.9</w:t>
            </w:r>
          </w:p>
        </w:tc>
        <w:tc>
          <w:tcPr>
            <w:tcW w:w="0" w:type="auto"/>
            <w:shd w:val="clear" w:color="auto" w:fill="FFFFFF"/>
            <w:tcMar>
              <w:top w:w="120" w:type="dxa"/>
              <w:left w:w="120" w:type="dxa"/>
              <w:bottom w:w="120" w:type="dxa"/>
              <w:right w:w="120" w:type="dxa"/>
            </w:tcMar>
            <w:hideMark/>
          </w:tcPr>
          <w:p w14:paraId="23DE8FF5" w14:textId="77777777" w:rsidR="00392045" w:rsidRPr="008D47B7" w:rsidRDefault="00392045" w:rsidP="002B2366">
            <w:pPr>
              <w:rPr>
                <w:sz w:val="20"/>
                <w:szCs w:val="20"/>
              </w:rPr>
            </w:pPr>
            <w:r w:rsidRPr="008D47B7">
              <w:rPr>
                <w:sz w:val="20"/>
                <w:szCs w:val="20"/>
              </w:rPr>
              <w:t>.087</w:t>
            </w:r>
          </w:p>
        </w:tc>
      </w:tr>
      <w:tr w:rsidR="00392045" w:rsidRPr="008D47B7" w14:paraId="0883E8C4" w14:textId="77777777" w:rsidTr="002B2366">
        <w:trPr>
          <w:trHeight w:val="57"/>
        </w:trPr>
        <w:tc>
          <w:tcPr>
            <w:tcW w:w="1701" w:type="dxa"/>
            <w:vMerge/>
            <w:shd w:val="clear" w:color="auto" w:fill="FFFFFF"/>
            <w:vAlign w:val="center"/>
            <w:hideMark/>
          </w:tcPr>
          <w:p w14:paraId="7D567B63"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79C86DA3" w14:textId="77777777" w:rsidR="00392045" w:rsidRPr="008D47B7" w:rsidRDefault="00392045" w:rsidP="002B2366">
            <w:pPr>
              <w:rPr>
                <w:sz w:val="20"/>
                <w:szCs w:val="20"/>
              </w:rPr>
            </w:pPr>
            <w:r w:rsidRPr="008D47B7">
              <w:rPr>
                <w:sz w:val="20"/>
                <w:szCs w:val="20"/>
              </w:rPr>
              <w:t>Problems with Self-Concept</w:t>
            </w:r>
          </w:p>
        </w:tc>
        <w:tc>
          <w:tcPr>
            <w:tcW w:w="1474" w:type="dxa"/>
            <w:shd w:val="clear" w:color="auto" w:fill="FFFFFF"/>
            <w:tcMar>
              <w:top w:w="120" w:type="dxa"/>
              <w:left w:w="120" w:type="dxa"/>
              <w:bottom w:w="120" w:type="dxa"/>
              <w:right w:w="120" w:type="dxa"/>
            </w:tcMar>
            <w:hideMark/>
          </w:tcPr>
          <w:p w14:paraId="1922FCFB" w14:textId="77777777" w:rsidR="00392045" w:rsidRPr="008D47B7" w:rsidRDefault="00392045" w:rsidP="002B2366">
            <w:pPr>
              <w:rPr>
                <w:sz w:val="20"/>
                <w:szCs w:val="20"/>
              </w:rPr>
            </w:pPr>
            <w:r w:rsidRPr="008D47B7">
              <w:rPr>
                <w:sz w:val="20"/>
                <w:szCs w:val="20"/>
              </w:rPr>
              <w:t>2.26 (2.33)</w:t>
            </w:r>
          </w:p>
        </w:tc>
        <w:tc>
          <w:tcPr>
            <w:tcW w:w="1587" w:type="dxa"/>
            <w:shd w:val="clear" w:color="auto" w:fill="FFFFFF"/>
            <w:tcMar>
              <w:top w:w="120" w:type="dxa"/>
              <w:left w:w="120" w:type="dxa"/>
              <w:bottom w:w="120" w:type="dxa"/>
              <w:right w:w="120" w:type="dxa"/>
            </w:tcMar>
            <w:hideMark/>
          </w:tcPr>
          <w:p w14:paraId="6E4FD8E9" w14:textId="77777777" w:rsidR="00392045" w:rsidRPr="008D47B7" w:rsidRDefault="00392045" w:rsidP="002B2366">
            <w:pPr>
              <w:rPr>
                <w:sz w:val="20"/>
                <w:szCs w:val="20"/>
              </w:rPr>
            </w:pPr>
            <w:r w:rsidRPr="008D47B7">
              <w:rPr>
                <w:sz w:val="20"/>
                <w:szCs w:val="20"/>
              </w:rPr>
              <w:t>3.88 (4.12)</w:t>
            </w:r>
          </w:p>
        </w:tc>
        <w:tc>
          <w:tcPr>
            <w:tcW w:w="0" w:type="auto"/>
            <w:shd w:val="clear" w:color="auto" w:fill="FFFFFF"/>
            <w:tcMar>
              <w:top w:w="120" w:type="dxa"/>
              <w:left w:w="120" w:type="dxa"/>
              <w:bottom w:w="120" w:type="dxa"/>
              <w:right w:w="120" w:type="dxa"/>
            </w:tcMar>
            <w:hideMark/>
          </w:tcPr>
          <w:p w14:paraId="08415789" w14:textId="77777777" w:rsidR="00392045" w:rsidRPr="008D47B7" w:rsidRDefault="00392045" w:rsidP="002B2366">
            <w:pPr>
              <w:rPr>
                <w:sz w:val="20"/>
                <w:szCs w:val="20"/>
              </w:rPr>
            </w:pPr>
            <w:r w:rsidRPr="008D47B7">
              <w:rPr>
                <w:sz w:val="20"/>
                <w:szCs w:val="20"/>
              </w:rPr>
              <w:t>0.77</w:t>
            </w:r>
          </w:p>
        </w:tc>
        <w:tc>
          <w:tcPr>
            <w:tcW w:w="0" w:type="auto"/>
            <w:shd w:val="clear" w:color="auto" w:fill="FFFFFF"/>
            <w:tcMar>
              <w:top w:w="120" w:type="dxa"/>
              <w:left w:w="120" w:type="dxa"/>
              <w:bottom w:w="120" w:type="dxa"/>
              <w:right w:w="120" w:type="dxa"/>
            </w:tcMar>
            <w:hideMark/>
          </w:tcPr>
          <w:p w14:paraId="4DC7E408" w14:textId="77777777" w:rsidR="00392045" w:rsidRPr="008D47B7" w:rsidRDefault="00392045" w:rsidP="002B2366">
            <w:pPr>
              <w:rPr>
                <w:sz w:val="20"/>
                <w:szCs w:val="20"/>
              </w:rPr>
            </w:pPr>
            <w:r w:rsidRPr="008D47B7">
              <w:rPr>
                <w:sz w:val="20"/>
                <w:szCs w:val="20"/>
              </w:rPr>
              <w:t>.102</w:t>
            </w:r>
          </w:p>
        </w:tc>
      </w:tr>
      <w:tr w:rsidR="00392045" w:rsidRPr="008D47B7" w14:paraId="1529D4D9" w14:textId="77777777" w:rsidTr="002B2366">
        <w:trPr>
          <w:trHeight w:val="57"/>
        </w:trPr>
        <w:tc>
          <w:tcPr>
            <w:tcW w:w="1701" w:type="dxa"/>
            <w:vMerge/>
            <w:tcBorders>
              <w:bottom w:val="single" w:sz="4" w:space="0" w:color="BFBFBF" w:themeColor="background1" w:themeShade="BF"/>
            </w:tcBorders>
            <w:shd w:val="clear" w:color="auto" w:fill="FFFFFF"/>
            <w:vAlign w:val="center"/>
            <w:hideMark/>
          </w:tcPr>
          <w:p w14:paraId="47856338" w14:textId="77777777" w:rsidR="00392045" w:rsidRPr="008D47B7" w:rsidRDefault="00392045" w:rsidP="002B2366">
            <w:pPr>
              <w:rPr>
                <w:sz w:val="20"/>
                <w:szCs w:val="20"/>
              </w:rPr>
            </w:pP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633C4823" w14:textId="77777777" w:rsidR="00392045" w:rsidRPr="008D47B7" w:rsidRDefault="00392045" w:rsidP="002B2366">
            <w:pPr>
              <w:rPr>
                <w:sz w:val="20"/>
                <w:szCs w:val="20"/>
              </w:rPr>
            </w:pPr>
            <w:r w:rsidRPr="008D47B7">
              <w:rPr>
                <w:sz w:val="20"/>
                <w:szCs w:val="20"/>
              </w:rPr>
              <w:t>ADHD Index</w:t>
            </w:r>
          </w:p>
        </w:tc>
        <w:tc>
          <w:tcPr>
            <w:tcW w:w="1474" w:type="dxa"/>
            <w:tcBorders>
              <w:bottom w:val="single" w:sz="4" w:space="0" w:color="BFBFBF" w:themeColor="background1" w:themeShade="BF"/>
            </w:tcBorders>
            <w:shd w:val="clear" w:color="auto" w:fill="FFFFFF"/>
            <w:tcMar>
              <w:top w:w="120" w:type="dxa"/>
              <w:left w:w="120" w:type="dxa"/>
              <w:bottom w:w="120" w:type="dxa"/>
              <w:right w:w="120" w:type="dxa"/>
            </w:tcMar>
            <w:hideMark/>
          </w:tcPr>
          <w:p w14:paraId="1AA85D07" w14:textId="77777777" w:rsidR="00392045" w:rsidRPr="008D47B7" w:rsidRDefault="00392045" w:rsidP="002B2366">
            <w:pPr>
              <w:rPr>
                <w:sz w:val="20"/>
                <w:szCs w:val="20"/>
              </w:rPr>
            </w:pPr>
            <w:r w:rsidRPr="008D47B7">
              <w:rPr>
                <w:sz w:val="20"/>
                <w:szCs w:val="20"/>
              </w:rPr>
              <w:t>6.79 (4.26)</w:t>
            </w:r>
          </w:p>
        </w:tc>
        <w:tc>
          <w:tcPr>
            <w:tcW w:w="1587" w:type="dxa"/>
            <w:tcBorders>
              <w:bottom w:val="single" w:sz="4" w:space="0" w:color="BFBFBF" w:themeColor="background1" w:themeShade="BF"/>
            </w:tcBorders>
            <w:shd w:val="clear" w:color="auto" w:fill="FFFFFF"/>
            <w:tcMar>
              <w:top w:w="120" w:type="dxa"/>
              <w:left w:w="120" w:type="dxa"/>
              <w:bottom w:w="120" w:type="dxa"/>
              <w:right w:w="120" w:type="dxa"/>
            </w:tcMar>
            <w:hideMark/>
          </w:tcPr>
          <w:p w14:paraId="4805A81D" w14:textId="77777777" w:rsidR="00392045" w:rsidRPr="008D47B7" w:rsidRDefault="00392045" w:rsidP="002B2366">
            <w:pPr>
              <w:rPr>
                <w:sz w:val="20"/>
                <w:szCs w:val="20"/>
              </w:rPr>
            </w:pPr>
            <w:r w:rsidRPr="008D47B7">
              <w:rPr>
                <w:sz w:val="20"/>
                <w:szCs w:val="20"/>
              </w:rPr>
              <w:t>8.38 (4.51)</w:t>
            </w: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1C0F40D2" w14:textId="77777777" w:rsidR="00392045" w:rsidRPr="008D47B7" w:rsidRDefault="00392045" w:rsidP="002B2366">
            <w:pPr>
              <w:rPr>
                <w:sz w:val="20"/>
                <w:szCs w:val="20"/>
              </w:rPr>
            </w:pPr>
            <w:r w:rsidRPr="008D47B7">
              <w:rPr>
                <w:sz w:val="20"/>
                <w:szCs w:val="20"/>
              </w:rPr>
              <w:t>0.53</w:t>
            </w:r>
          </w:p>
        </w:tc>
        <w:tc>
          <w:tcPr>
            <w:tcW w:w="0" w:type="auto"/>
            <w:tcBorders>
              <w:bottom w:val="single" w:sz="4" w:space="0" w:color="BFBFBF" w:themeColor="background1" w:themeShade="BF"/>
            </w:tcBorders>
            <w:shd w:val="clear" w:color="auto" w:fill="FFFFFF"/>
            <w:tcMar>
              <w:top w:w="120" w:type="dxa"/>
              <w:left w:w="120" w:type="dxa"/>
              <w:bottom w:w="120" w:type="dxa"/>
              <w:right w:w="120" w:type="dxa"/>
            </w:tcMar>
            <w:hideMark/>
          </w:tcPr>
          <w:p w14:paraId="10367B6E" w14:textId="77777777" w:rsidR="00392045" w:rsidRPr="008D47B7" w:rsidRDefault="00392045" w:rsidP="002B2366">
            <w:pPr>
              <w:rPr>
                <w:sz w:val="20"/>
                <w:szCs w:val="20"/>
              </w:rPr>
            </w:pPr>
            <w:r w:rsidRPr="008D47B7">
              <w:rPr>
                <w:sz w:val="20"/>
                <w:szCs w:val="20"/>
              </w:rPr>
              <w:t>.233</w:t>
            </w:r>
          </w:p>
        </w:tc>
      </w:tr>
      <w:tr w:rsidR="00392045" w:rsidRPr="008D47B7" w14:paraId="1ACC5555" w14:textId="77777777" w:rsidTr="002B2366">
        <w:trPr>
          <w:trHeight w:val="57"/>
        </w:trPr>
        <w:tc>
          <w:tcPr>
            <w:tcW w:w="1701" w:type="dxa"/>
            <w:vMerge w:val="restart"/>
            <w:tcBorders>
              <w:top w:val="single" w:sz="4" w:space="0" w:color="BFBFBF" w:themeColor="background1" w:themeShade="BF"/>
            </w:tcBorders>
            <w:shd w:val="clear" w:color="auto" w:fill="FFFFFF"/>
            <w:tcMar>
              <w:top w:w="120" w:type="dxa"/>
              <w:left w:w="120" w:type="dxa"/>
              <w:bottom w:w="120" w:type="dxa"/>
              <w:right w:w="120" w:type="dxa"/>
            </w:tcMar>
            <w:vAlign w:val="center"/>
            <w:hideMark/>
          </w:tcPr>
          <w:p w14:paraId="00D750EB" w14:textId="77777777" w:rsidR="00392045" w:rsidRPr="008D47B7" w:rsidRDefault="00392045" w:rsidP="002B2366">
            <w:pPr>
              <w:rPr>
                <w:sz w:val="20"/>
                <w:szCs w:val="20"/>
              </w:rPr>
            </w:pPr>
            <w:r w:rsidRPr="008D47B7">
              <w:rPr>
                <w:sz w:val="20"/>
                <w:szCs w:val="20"/>
              </w:rPr>
              <w:lastRenderedPageBreak/>
              <w:t>CAARS (observer-rated)</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5F47F0CE" w14:textId="77777777" w:rsidR="00392045" w:rsidRPr="008D47B7" w:rsidRDefault="00392045" w:rsidP="002B2366">
            <w:pPr>
              <w:rPr>
                <w:sz w:val="20"/>
                <w:szCs w:val="20"/>
              </w:rPr>
            </w:pPr>
            <w:r w:rsidRPr="008D47B7">
              <w:rPr>
                <w:sz w:val="20"/>
                <w:szCs w:val="20"/>
              </w:rPr>
              <w:t>Inattention / Memory Problems</w:t>
            </w:r>
          </w:p>
        </w:tc>
        <w:tc>
          <w:tcPr>
            <w:tcW w:w="1474" w:type="dxa"/>
            <w:tcBorders>
              <w:top w:val="single" w:sz="4" w:space="0" w:color="BFBFBF" w:themeColor="background1" w:themeShade="BF"/>
            </w:tcBorders>
            <w:shd w:val="clear" w:color="auto" w:fill="FFFFFF"/>
            <w:tcMar>
              <w:top w:w="120" w:type="dxa"/>
              <w:left w:w="120" w:type="dxa"/>
              <w:bottom w:w="120" w:type="dxa"/>
              <w:right w:w="120" w:type="dxa"/>
            </w:tcMar>
            <w:hideMark/>
          </w:tcPr>
          <w:p w14:paraId="65EDF9D5" w14:textId="77777777" w:rsidR="00392045" w:rsidRPr="008D47B7" w:rsidRDefault="00392045" w:rsidP="002B2366">
            <w:pPr>
              <w:rPr>
                <w:sz w:val="20"/>
                <w:szCs w:val="20"/>
              </w:rPr>
            </w:pPr>
            <w:r w:rsidRPr="008D47B7">
              <w:rPr>
                <w:sz w:val="20"/>
                <w:szCs w:val="20"/>
              </w:rPr>
              <w:t>4.24 (2.51)</w:t>
            </w:r>
          </w:p>
        </w:tc>
        <w:tc>
          <w:tcPr>
            <w:tcW w:w="1587" w:type="dxa"/>
            <w:tcBorders>
              <w:top w:val="single" w:sz="4" w:space="0" w:color="BFBFBF" w:themeColor="background1" w:themeShade="BF"/>
            </w:tcBorders>
            <w:shd w:val="clear" w:color="auto" w:fill="FFFFFF"/>
            <w:tcMar>
              <w:top w:w="120" w:type="dxa"/>
              <w:left w:w="120" w:type="dxa"/>
              <w:bottom w:w="120" w:type="dxa"/>
              <w:right w:w="120" w:type="dxa"/>
            </w:tcMar>
            <w:hideMark/>
          </w:tcPr>
          <w:p w14:paraId="7596545D" w14:textId="77777777" w:rsidR="00392045" w:rsidRPr="008D47B7" w:rsidRDefault="00392045" w:rsidP="002B2366">
            <w:pPr>
              <w:rPr>
                <w:sz w:val="20"/>
                <w:szCs w:val="20"/>
              </w:rPr>
            </w:pP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232F7AE2" w14:textId="77777777" w:rsidR="00392045" w:rsidRPr="008D47B7" w:rsidRDefault="00392045" w:rsidP="002B2366">
            <w:pPr>
              <w:rPr>
                <w:sz w:val="20"/>
                <w:szCs w:val="20"/>
              </w:rPr>
            </w:pP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6F89F6C2" w14:textId="77777777" w:rsidR="00392045" w:rsidRPr="008D47B7" w:rsidRDefault="00392045" w:rsidP="002B2366">
            <w:pPr>
              <w:rPr>
                <w:sz w:val="20"/>
                <w:szCs w:val="20"/>
              </w:rPr>
            </w:pPr>
          </w:p>
        </w:tc>
      </w:tr>
      <w:tr w:rsidR="00392045" w:rsidRPr="008D47B7" w14:paraId="494B110E" w14:textId="77777777" w:rsidTr="002B2366">
        <w:trPr>
          <w:trHeight w:val="57"/>
        </w:trPr>
        <w:tc>
          <w:tcPr>
            <w:tcW w:w="1701" w:type="dxa"/>
            <w:vMerge/>
            <w:shd w:val="clear" w:color="auto" w:fill="FFFFFF"/>
            <w:vAlign w:val="center"/>
            <w:hideMark/>
          </w:tcPr>
          <w:p w14:paraId="2BF2643D"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0CFC4125" w14:textId="77777777" w:rsidR="00392045" w:rsidRPr="008D47B7" w:rsidRDefault="00392045" w:rsidP="002B2366">
            <w:pPr>
              <w:rPr>
                <w:sz w:val="20"/>
                <w:szCs w:val="20"/>
              </w:rPr>
            </w:pPr>
            <w:r w:rsidRPr="008D47B7">
              <w:rPr>
                <w:sz w:val="20"/>
                <w:szCs w:val="20"/>
              </w:rPr>
              <w:t>Hyperactivity / Restlessness</w:t>
            </w:r>
          </w:p>
        </w:tc>
        <w:tc>
          <w:tcPr>
            <w:tcW w:w="1474" w:type="dxa"/>
            <w:shd w:val="clear" w:color="auto" w:fill="FFFFFF"/>
            <w:tcMar>
              <w:top w:w="120" w:type="dxa"/>
              <w:left w:w="120" w:type="dxa"/>
              <w:bottom w:w="120" w:type="dxa"/>
              <w:right w:w="120" w:type="dxa"/>
            </w:tcMar>
            <w:hideMark/>
          </w:tcPr>
          <w:p w14:paraId="445BD8C5" w14:textId="77777777" w:rsidR="00392045" w:rsidRPr="008D47B7" w:rsidRDefault="00392045" w:rsidP="002B2366">
            <w:pPr>
              <w:rPr>
                <w:sz w:val="20"/>
                <w:szCs w:val="20"/>
              </w:rPr>
            </w:pPr>
            <w:r w:rsidRPr="008D47B7">
              <w:rPr>
                <w:sz w:val="20"/>
                <w:szCs w:val="20"/>
              </w:rPr>
              <w:t>1.58 (1.92)</w:t>
            </w:r>
          </w:p>
        </w:tc>
        <w:tc>
          <w:tcPr>
            <w:tcW w:w="1587" w:type="dxa"/>
            <w:shd w:val="clear" w:color="auto" w:fill="FFFFFF"/>
            <w:tcMar>
              <w:top w:w="120" w:type="dxa"/>
              <w:left w:w="120" w:type="dxa"/>
              <w:bottom w:w="120" w:type="dxa"/>
              <w:right w:w="120" w:type="dxa"/>
            </w:tcMar>
            <w:hideMark/>
          </w:tcPr>
          <w:p w14:paraId="1297DD7A"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671857FA"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2BF3F6AD" w14:textId="77777777" w:rsidR="00392045" w:rsidRPr="008D47B7" w:rsidRDefault="00392045" w:rsidP="002B2366">
            <w:pPr>
              <w:rPr>
                <w:sz w:val="20"/>
                <w:szCs w:val="20"/>
              </w:rPr>
            </w:pPr>
          </w:p>
        </w:tc>
      </w:tr>
      <w:tr w:rsidR="00392045" w:rsidRPr="008D47B7" w14:paraId="43618611" w14:textId="77777777" w:rsidTr="002B2366">
        <w:trPr>
          <w:trHeight w:val="57"/>
        </w:trPr>
        <w:tc>
          <w:tcPr>
            <w:tcW w:w="1701" w:type="dxa"/>
            <w:vMerge/>
            <w:shd w:val="clear" w:color="auto" w:fill="FFFFFF"/>
            <w:vAlign w:val="center"/>
            <w:hideMark/>
          </w:tcPr>
          <w:p w14:paraId="5FDA277E"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4F29EBB5" w14:textId="77777777" w:rsidR="00392045" w:rsidRPr="008D47B7" w:rsidRDefault="00392045" w:rsidP="002B2366">
            <w:pPr>
              <w:rPr>
                <w:sz w:val="20"/>
                <w:szCs w:val="20"/>
              </w:rPr>
            </w:pPr>
            <w:r w:rsidRPr="008D47B7">
              <w:rPr>
                <w:sz w:val="20"/>
                <w:szCs w:val="20"/>
              </w:rPr>
              <w:t>Impulsivity / Emotional Lability</w:t>
            </w:r>
          </w:p>
        </w:tc>
        <w:tc>
          <w:tcPr>
            <w:tcW w:w="1474" w:type="dxa"/>
            <w:shd w:val="clear" w:color="auto" w:fill="FFFFFF"/>
            <w:tcMar>
              <w:top w:w="120" w:type="dxa"/>
              <w:left w:w="120" w:type="dxa"/>
              <w:bottom w:w="120" w:type="dxa"/>
              <w:right w:w="120" w:type="dxa"/>
            </w:tcMar>
            <w:hideMark/>
          </w:tcPr>
          <w:p w14:paraId="16445DEA" w14:textId="77777777" w:rsidR="00392045" w:rsidRPr="008D47B7" w:rsidRDefault="00392045" w:rsidP="002B2366">
            <w:pPr>
              <w:rPr>
                <w:sz w:val="20"/>
                <w:szCs w:val="20"/>
              </w:rPr>
            </w:pPr>
            <w:r w:rsidRPr="008D47B7">
              <w:rPr>
                <w:sz w:val="20"/>
                <w:szCs w:val="20"/>
              </w:rPr>
              <w:t>1.21 (1.23)</w:t>
            </w:r>
          </w:p>
        </w:tc>
        <w:tc>
          <w:tcPr>
            <w:tcW w:w="1587" w:type="dxa"/>
            <w:shd w:val="clear" w:color="auto" w:fill="FFFFFF"/>
            <w:tcMar>
              <w:top w:w="120" w:type="dxa"/>
              <w:left w:w="120" w:type="dxa"/>
              <w:bottom w:w="120" w:type="dxa"/>
              <w:right w:w="120" w:type="dxa"/>
            </w:tcMar>
            <w:hideMark/>
          </w:tcPr>
          <w:p w14:paraId="57D3A7B5"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6DD5B274"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3A2BF4F7" w14:textId="77777777" w:rsidR="00392045" w:rsidRPr="008D47B7" w:rsidRDefault="00392045" w:rsidP="002B2366">
            <w:pPr>
              <w:rPr>
                <w:sz w:val="20"/>
                <w:szCs w:val="20"/>
              </w:rPr>
            </w:pPr>
          </w:p>
        </w:tc>
      </w:tr>
      <w:tr w:rsidR="00392045" w:rsidRPr="008D47B7" w14:paraId="3A9863D8" w14:textId="77777777" w:rsidTr="002B2366">
        <w:trPr>
          <w:trHeight w:val="57"/>
        </w:trPr>
        <w:tc>
          <w:tcPr>
            <w:tcW w:w="1701" w:type="dxa"/>
            <w:vMerge/>
            <w:shd w:val="clear" w:color="auto" w:fill="FFFFFF"/>
            <w:vAlign w:val="center"/>
            <w:hideMark/>
          </w:tcPr>
          <w:p w14:paraId="0F6107F4"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187AE3F3" w14:textId="77777777" w:rsidR="00392045" w:rsidRPr="008D47B7" w:rsidRDefault="00392045" w:rsidP="002B2366">
            <w:pPr>
              <w:rPr>
                <w:sz w:val="20"/>
                <w:szCs w:val="20"/>
              </w:rPr>
            </w:pPr>
            <w:r w:rsidRPr="008D47B7">
              <w:rPr>
                <w:sz w:val="20"/>
                <w:szCs w:val="20"/>
              </w:rPr>
              <w:t>Problems with Self-Concept</w:t>
            </w:r>
          </w:p>
        </w:tc>
        <w:tc>
          <w:tcPr>
            <w:tcW w:w="1474" w:type="dxa"/>
            <w:shd w:val="clear" w:color="auto" w:fill="FFFFFF"/>
            <w:tcMar>
              <w:top w:w="120" w:type="dxa"/>
              <w:left w:w="120" w:type="dxa"/>
              <w:bottom w:w="120" w:type="dxa"/>
              <w:right w:w="120" w:type="dxa"/>
            </w:tcMar>
            <w:hideMark/>
          </w:tcPr>
          <w:p w14:paraId="3D879F9E" w14:textId="77777777" w:rsidR="00392045" w:rsidRPr="008D47B7" w:rsidRDefault="00392045" w:rsidP="002B2366">
            <w:pPr>
              <w:rPr>
                <w:sz w:val="20"/>
                <w:szCs w:val="20"/>
              </w:rPr>
            </w:pPr>
            <w:r w:rsidRPr="008D47B7">
              <w:rPr>
                <w:sz w:val="20"/>
                <w:szCs w:val="20"/>
              </w:rPr>
              <w:t>2.32 (2.11)</w:t>
            </w:r>
          </w:p>
        </w:tc>
        <w:tc>
          <w:tcPr>
            <w:tcW w:w="1587" w:type="dxa"/>
            <w:shd w:val="clear" w:color="auto" w:fill="FFFFFF"/>
            <w:tcMar>
              <w:top w:w="120" w:type="dxa"/>
              <w:left w:w="120" w:type="dxa"/>
              <w:bottom w:w="120" w:type="dxa"/>
              <w:right w:w="120" w:type="dxa"/>
            </w:tcMar>
            <w:hideMark/>
          </w:tcPr>
          <w:p w14:paraId="17034F09"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74FBCF8D"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7B5658C4" w14:textId="77777777" w:rsidR="00392045" w:rsidRPr="008D47B7" w:rsidRDefault="00392045" w:rsidP="002B2366">
            <w:pPr>
              <w:rPr>
                <w:sz w:val="20"/>
                <w:szCs w:val="20"/>
              </w:rPr>
            </w:pPr>
          </w:p>
        </w:tc>
      </w:tr>
      <w:tr w:rsidR="00392045" w:rsidRPr="008D47B7" w14:paraId="1174CA57" w14:textId="77777777" w:rsidTr="002B2366">
        <w:trPr>
          <w:trHeight w:val="57"/>
        </w:trPr>
        <w:tc>
          <w:tcPr>
            <w:tcW w:w="1701" w:type="dxa"/>
            <w:vMerge/>
            <w:shd w:val="clear" w:color="auto" w:fill="FFFFFF"/>
            <w:vAlign w:val="center"/>
            <w:hideMark/>
          </w:tcPr>
          <w:p w14:paraId="033B2D10"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103C7F41" w14:textId="77777777" w:rsidR="00392045" w:rsidRPr="008D47B7" w:rsidRDefault="00392045" w:rsidP="002B2366">
            <w:pPr>
              <w:rPr>
                <w:sz w:val="20"/>
                <w:szCs w:val="20"/>
              </w:rPr>
            </w:pPr>
            <w:r w:rsidRPr="008D47B7">
              <w:rPr>
                <w:sz w:val="20"/>
                <w:szCs w:val="20"/>
              </w:rPr>
              <w:t>ADHD Index</w:t>
            </w:r>
          </w:p>
        </w:tc>
        <w:tc>
          <w:tcPr>
            <w:tcW w:w="1474" w:type="dxa"/>
            <w:shd w:val="clear" w:color="auto" w:fill="FFFFFF"/>
            <w:tcMar>
              <w:top w:w="120" w:type="dxa"/>
              <w:left w:w="120" w:type="dxa"/>
              <w:bottom w:w="120" w:type="dxa"/>
              <w:right w:w="120" w:type="dxa"/>
            </w:tcMar>
            <w:hideMark/>
          </w:tcPr>
          <w:p w14:paraId="7BEA9C2E" w14:textId="77777777" w:rsidR="00392045" w:rsidRPr="008D47B7" w:rsidRDefault="00392045" w:rsidP="002B2366">
            <w:pPr>
              <w:rPr>
                <w:sz w:val="20"/>
                <w:szCs w:val="20"/>
              </w:rPr>
            </w:pPr>
            <w:r w:rsidRPr="008D47B7">
              <w:rPr>
                <w:sz w:val="20"/>
                <w:szCs w:val="20"/>
              </w:rPr>
              <w:t>4.47 (3.42)</w:t>
            </w:r>
          </w:p>
        </w:tc>
        <w:tc>
          <w:tcPr>
            <w:tcW w:w="1587" w:type="dxa"/>
            <w:shd w:val="clear" w:color="auto" w:fill="FFFFFF"/>
            <w:tcMar>
              <w:top w:w="120" w:type="dxa"/>
              <w:left w:w="120" w:type="dxa"/>
              <w:bottom w:w="120" w:type="dxa"/>
              <w:right w:w="120" w:type="dxa"/>
            </w:tcMar>
            <w:hideMark/>
          </w:tcPr>
          <w:p w14:paraId="7276910F"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49A7F27F"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4B0ECA54" w14:textId="77777777" w:rsidR="00392045" w:rsidRPr="008D47B7" w:rsidRDefault="00392045" w:rsidP="002B2366">
            <w:pPr>
              <w:rPr>
                <w:sz w:val="20"/>
                <w:szCs w:val="20"/>
              </w:rPr>
            </w:pPr>
          </w:p>
        </w:tc>
      </w:tr>
      <w:tr w:rsidR="00392045" w:rsidRPr="008D47B7" w14:paraId="39AE8D4D" w14:textId="77777777" w:rsidTr="002B2366">
        <w:trPr>
          <w:trHeight w:val="57"/>
        </w:trPr>
        <w:tc>
          <w:tcPr>
            <w:tcW w:w="1701" w:type="dxa"/>
            <w:tcBorders>
              <w:top w:val="single" w:sz="4" w:space="0" w:color="BFBFBF" w:themeColor="background1" w:themeShade="BF"/>
              <w:bottom w:val="single" w:sz="4" w:space="0" w:color="BFBFBF" w:themeColor="background1" w:themeShade="BF"/>
            </w:tcBorders>
            <w:shd w:val="clear" w:color="auto" w:fill="FFFFFF"/>
            <w:tcMar>
              <w:top w:w="120" w:type="dxa"/>
              <w:left w:w="120" w:type="dxa"/>
              <w:bottom w:w="120" w:type="dxa"/>
              <w:right w:w="120" w:type="dxa"/>
            </w:tcMar>
            <w:hideMark/>
          </w:tcPr>
          <w:p w14:paraId="48832C91" w14:textId="77777777" w:rsidR="00392045" w:rsidRPr="008D47B7" w:rsidRDefault="00392045" w:rsidP="002B2366">
            <w:pPr>
              <w:rPr>
                <w:sz w:val="20"/>
                <w:szCs w:val="20"/>
              </w:rPr>
            </w:pPr>
            <w:r w:rsidRPr="008D47B7">
              <w:rPr>
                <w:sz w:val="20"/>
                <w:szCs w:val="20"/>
              </w:rPr>
              <w:t>RBDSQ</w:t>
            </w:r>
          </w:p>
        </w:tc>
        <w:tc>
          <w:tcPr>
            <w:tcW w:w="0" w:type="auto"/>
            <w:tcBorders>
              <w:top w:val="single" w:sz="4" w:space="0" w:color="BFBFBF" w:themeColor="background1" w:themeShade="BF"/>
              <w:bottom w:val="single" w:sz="4" w:space="0" w:color="BFBFBF" w:themeColor="background1" w:themeShade="BF"/>
            </w:tcBorders>
            <w:shd w:val="clear" w:color="auto" w:fill="FFFFFF"/>
            <w:tcMar>
              <w:top w:w="120" w:type="dxa"/>
              <w:left w:w="120" w:type="dxa"/>
              <w:bottom w:w="120" w:type="dxa"/>
              <w:right w:w="120" w:type="dxa"/>
            </w:tcMar>
            <w:hideMark/>
          </w:tcPr>
          <w:p w14:paraId="6B51A305" w14:textId="77777777" w:rsidR="00392045" w:rsidRPr="008D47B7" w:rsidRDefault="00392045" w:rsidP="002B2366">
            <w:pPr>
              <w:rPr>
                <w:sz w:val="20"/>
                <w:szCs w:val="20"/>
              </w:rPr>
            </w:pPr>
          </w:p>
        </w:tc>
        <w:tc>
          <w:tcPr>
            <w:tcW w:w="1474" w:type="dxa"/>
            <w:tcBorders>
              <w:top w:val="single" w:sz="4" w:space="0" w:color="BFBFBF" w:themeColor="background1" w:themeShade="BF"/>
              <w:bottom w:val="single" w:sz="4" w:space="0" w:color="BFBFBF" w:themeColor="background1" w:themeShade="BF"/>
            </w:tcBorders>
            <w:shd w:val="clear" w:color="auto" w:fill="FFFFFF"/>
            <w:tcMar>
              <w:top w:w="120" w:type="dxa"/>
              <w:left w:w="120" w:type="dxa"/>
              <w:bottom w:w="120" w:type="dxa"/>
              <w:right w:w="120" w:type="dxa"/>
            </w:tcMar>
            <w:hideMark/>
          </w:tcPr>
          <w:p w14:paraId="35E7E9AF" w14:textId="77777777" w:rsidR="00392045" w:rsidRPr="008D47B7" w:rsidRDefault="00392045" w:rsidP="002B2366">
            <w:pPr>
              <w:rPr>
                <w:sz w:val="20"/>
                <w:szCs w:val="20"/>
              </w:rPr>
            </w:pPr>
            <w:r w:rsidRPr="008D47B7">
              <w:rPr>
                <w:sz w:val="20"/>
                <w:szCs w:val="20"/>
              </w:rPr>
              <w:t>4.58 (3.45)</w:t>
            </w:r>
          </w:p>
        </w:tc>
        <w:tc>
          <w:tcPr>
            <w:tcW w:w="1587" w:type="dxa"/>
            <w:tcBorders>
              <w:top w:val="single" w:sz="4" w:space="0" w:color="BFBFBF" w:themeColor="background1" w:themeShade="BF"/>
              <w:bottom w:val="single" w:sz="4" w:space="0" w:color="BFBFBF" w:themeColor="background1" w:themeShade="BF"/>
            </w:tcBorders>
            <w:shd w:val="clear" w:color="auto" w:fill="FFFFFF"/>
            <w:tcMar>
              <w:top w:w="120" w:type="dxa"/>
              <w:left w:w="120" w:type="dxa"/>
              <w:bottom w:w="120" w:type="dxa"/>
              <w:right w:w="120" w:type="dxa"/>
            </w:tcMar>
            <w:hideMark/>
          </w:tcPr>
          <w:p w14:paraId="1CFCA396" w14:textId="77777777" w:rsidR="00392045" w:rsidRPr="008D47B7" w:rsidRDefault="00392045" w:rsidP="002B2366">
            <w:pPr>
              <w:rPr>
                <w:sz w:val="20"/>
                <w:szCs w:val="20"/>
              </w:rPr>
            </w:pPr>
          </w:p>
        </w:tc>
        <w:tc>
          <w:tcPr>
            <w:tcW w:w="0" w:type="auto"/>
            <w:tcBorders>
              <w:top w:val="single" w:sz="4" w:space="0" w:color="BFBFBF" w:themeColor="background1" w:themeShade="BF"/>
              <w:bottom w:val="single" w:sz="4" w:space="0" w:color="BFBFBF" w:themeColor="background1" w:themeShade="BF"/>
            </w:tcBorders>
            <w:shd w:val="clear" w:color="auto" w:fill="FFFFFF"/>
            <w:tcMar>
              <w:top w:w="120" w:type="dxa"/>
              <w:left w:w="120" w:type="dxa"/>
              <w:bottom w:w="120" w:type="dxa"/>
              <w:right w:w="120" w:type="dxa"/>
            </w:tcMar>
            <w:hideMark/>
          </w:tcPr>
          <w:p w14:paraId="231C7022" w14:textId="77777777" w:rsidR="00392045" w:rsidRPr="008D47B7" w:rsidRDefault="00392045" w:rsidP="002B2366">
            <w:pPr>
              <w:rPr>
                <w:sz w:val="20"/>
                <w:szCs w:val="20"/>
              </w:rPr>
            </w:pPr>
          </w:p>
        </w:tc>
        <w:tc>
          <w:tcPr>
            <w:tcW w:w="0" w:type="auto"/>
            <w:tcBorders>
              <w:top w:val="single" w:sz="4" w:space="0" w:color="BFBFBF" w:themeColor="background1" w:themeShade="BF"/>
              <w:bottom w:val="single" w:sz="4" w:space="0" w:color="BFBFBF" w:themeColor="background1" w:themeShade="BF"/>
            </w:tcBorders>
            <w:shd w:val="clear" w:color="auto" w:fill="FFFFFF"/>
            <w:tcMar>
              <w:top w:w="120" w:type="dxa"/>
              <w:left w:w="120" w:type="dxa"/>
              <w:bottom w:w="120" w:type="dxa"/>
              <w:right w:w="120" w:type="dxa"/>
            </w:tcMar>
            <w:hideMark/>
          </w:tcPr>
          <w:p w14:paraId="15069C80" w14:textId="77777777" w:rsidR="00392045" w:rsidRPr="008D47B7" w:rsidRDefault="00392045" w:rsidP="002B2366">
            <w:pPr>
              <w:rPr>
                <w:sz w:val="20"/>
                <w:szCs w:val="20"/>
              </w:rPr>
            </w:pPr>
          </w:p>
        </w:tc>
      </w:tr>
      <w:tr w:rsidR="00392045" w:rsidRPr="008D47B7" w14:paraId="48179EB3" w14:textId="77777777" w:rsidTr="002B2366">
        <w:trPr>
          <w:trHeight w:val="57"/>
        </w:trPr>
        <w:tc>
          <w:tcPr>
            <w:tcW w:w="1701" w:type="dxa"/>
            <w:vMerge w:val="restart"/>
            <w:tcBorders>
              <w:top w:val="single" w:sz="4" w:space="0" w:color="BFBFBF" w:themeColor="background1" w:themeShade="BF"/>
            </w:tcBorders>
            <w:shd w:val="clear" w:color="auto" w:fill="FFFFFF"/>
            <w:tcMar>
              <w:top w:w="120" w:type="dxa"/>
              <w:left w:w="120" w:type="dxa"/>
              <w:bottom w:w="120" w:type="dxa"/>
              <w:right w:w="120" w:type="dxa"/>
            </w:tcMar>
            <w:vAlign w:val="center"/>
            <w:hideMark/>
          </w:tcPr>
          <w:p w14:paraId="786FA2A7" w14:textId="77777777" w:rsidR="00392045" w:rsidRPr="008D47B7" w:rsidRDefault="00392045" w:rsidP="002B2366">
            <w:pPr>
              <w:rPr>
                <w:sz w:val="20"/>
                <w:szCs w:val="20"/>
              </w:rPr>
            </w:pPr>
            <w:r w:rsidRPr="008D47B7">
              <w:rPr>
                <w:sz w:val="20"/>
                <w:szCs w:val="20"/>
              </w:rPr>
              <w:t>CBI</w:t>
            </w:r>
            <w:r>
              <w:rPr>
                <w:sz w:val="20"/>
                <w:szCs w:val="20"/>
              </w:rPr>
              <w:t>-R</w:t>
            </w: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6DBFDF25" w14:textId="77777777" w:rsidR="00392045" w:rsidRPr="008D47B7" w:rsidRDefault="00392045" w:rsidP="002B2366">
            <w:pPr>
              <w:rPr>
                <w:sz w:val="20"/>
                <w:szCs w:val="20"/>
              </w:rPr>
            </w:pPr>
            <w:r w:rsidRPr="008D47B7">
              <w:rPr>
                <w:sz w:val="20"/>
                <w:szCs w:val="20"/>
              </w:rPr>
              <w:t>Total Score</w:t>
            </w:r>
          </w:p>
        </w:tc>
        <w:tc>
          <w:tcPr>
            <w:tcW w:w="1474" w:type="dxa"/>
            <w:tcBorders>
              <w:top w:val="single" w:sz="4" w:space="0" w:color="BFBFBF" w:themeColor="background1" w:themeShade="BF"/>
            </w:tcBorders>
            <w:shd w:val="clear" w:color="auto" w:fill="FFFFFF"/>
            <w:tcMar>
              <w:top w:w="120" w:type="dxa"/>
              <w:left w:w="120" w:type="dxa"/>
              <w:bottom w:w="120" w:type="dxa"/>
              <w:right w:w="120" w:type="dxa"/>
            </w:tcMar>
            <w:hideMark/>
          </w:tcPr>
          <w:p w14:paraId="74E07FA8" w14:textId="77777777" w:rsidR="00392045" w:rsidRPr="008D47B7" w:rsidRDefault="00392045" w:rsidP="002B2366">
            <w:pPr>
              <w:rPr>
                <w:sz w:val="20"/>
                <w:szCs w:val="20"/>
              </w:rPr>
            </w:pPr>
            <w:r w:rsidRPr="008D47B7">
              <w:rPr>
                <w:sz w:val="20"/>
                <w:szCs w:val="20"/>
              </w:rPr>
              <w:t>15.13 (13.6)</w:t>
            </w:r>
          </w:p>
        </w:tc>
        <w:tc>
          <w:tcPr>
            <w:tcW w:w="1587" w:type="dxa"/>
            <w:tcBorders>
              <w:top w:val="single" w:sz="4" w:space="0" w:color="BFBFBF" w:themeColor="background1" w:themeShade="BF"/>
            </w:tcBorders>
            <w:shd w:val="clear" w:color="auto" w:fill="FFFFFF"/>
            <w:tcMar>
              <w:top w:w="120" w:type="dxa"/>
              <w:left w:w="120" w:type="dxa"/>
              <w:bottom w:w="120" w:type="dxa"/>
              <w:right w:w="120" w:type="dxa"/>
            </w:tcMar>
            <w:hideMark/>
          </w:tcPr>
          <w:p w14:paraId="638E3B8D" w14:textId="77777777" w:rsidR="00392045" w:rsidRPr="008D47B7" w:rsidRDefault="00392045" w:rsidP="002B2366">
            <w:pPr>
              <w:rPr>
                <w:sz w:val="20"/>
                <w:szCs w:val="20"/>
              </w:rPr>
            </w:pP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628F833C" w14:textId="77777777" w:rsidR="00392045" w:rsidRPr="008D47B7" w:rsidRDefault="00392045" w:rsidP="002B2366">
            <w:pPr>
              <w:rPr>
                <w:sz w:val="20"/>
                <w:szCs w:val="20"/>
              </w:rPr>
            </w:pPr>
          </w:p>
        </w:tc>
        <w:tc>
          <w:tcPr>
            <w:tcW w:w="0" w:type="auto"/>
            <w:tcBorders>
              <w:top w:val="single" w:sz="4" w:space="0" w:color="BFBFBF" w:themeColor="background1" w:themeShade="BF"/>
            </w:tcBorders>
            <w:shd w:val="clear" w:color="auto" w:fill="FFFFFF"/>
            <w:tcMar>
              <w:top w:w="120" w:type="dxa"/>
              <w:left w:w="120" w:type="dxa"/>
              <w:bottom w:w="120" w:type="dxa"/>
              <w:right w:w="120" w:type="dxa"/>
            </w:tcMar>
            <w:hideMark/>
          </w:tcPr>
          <w:p w14:paraId="36AA8E08" w14:textId="77777777" w:rsidR="00392045" w:rsidRPr="008D47B7" w:rsidRDefault="00392045" w:rsidP="002B2366">
            <w:pPr>
              <w:rPr>
                <w:sz w:val="20"/>
                <w:szCs w:val="20"/>
              </w:rPr>
            </w:pPr>
          </w:p>
        </w:tc>
      </w:tr>
      <w:tr w:rsidR="00392045" w:rsidRPr="008D47B7" w14:paraId="304AFE3A" w14:textId="77777777" w:rsidTr="002B2366">
        <w:trPr>
          <w:trHeight w:val="57"/>
        </w:trPr>
        <w:tc>
          <w:tcPr>
            <w:tcW w:w="1701" w:type="dxa"/>
            <w:vMerge/>
            <w:shd w:val="clear" w:color="auto" w:fill="FFFFFF"/>
            <w:vAlign w:val="center"/>
            <w:hideMark/>
          </w:tcPr>
          <w:p w14:paraId="4D30120B"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483101BE" w14:textId="77777777" w:rsidR="00392045" w:rsidRPr="008D47B7" w:rsidRDefault="00392045" w:rsidP="002B2366">
            <w:pPr>
              <w:rPr>
                <w:sz w:val="20"/>
                <w:szCs w:val="20"/>
              </w:rPr>
            </w:pPr>
            <w:r w:rsidRPr="008D47B7">
              <w:rPr>
                <w:sz w:val="20"/>
                <w:szCs w:val="20"/>
              </w:rPr>
              <w:t>Abnormal Behaviour</w:t>
            </w:r>
          </w:p>
        </w:tc>
        <w:tc>
          <w:tcPr>
            <w:tcW w:w="1474" w:type="dxa"/>
            <w:shd w:val="clear" w:color="auto" w:fill="FFFFFF"/>
            <w:tcMar>
              <w:top w:w="120" w:type="dxa"/>
              <w:left w:w="120" w:type="dxa"/>
              <w:bottom w:w="120" w:type="dxa"/>
              <w:right w:w="120" w:type="dxa"/>
            </w:tcMar>
            <w:hideMark/>
          </w:tcPr>
          <w:p w14:paraId="1B1CB662" w14:textId="77777777" w:rsidR="00392045" w:rsidRPr="008D47B7" w:rsidRDefault="00392045" w:rsidP="002B2366">
            <w:pPr>
              <w:rPr>
                <w:sz w:val="20"/>
                <w:szCs w:val="20"/>
              </w:rPr>
            </w:pPr>
            <w:r w:rsidRPr="008D47B7">
              <w:rPr>
                <w:sz w:val="20"/>
                <w:szCs w:val="20"/>
              </w:rPr>
              <w:t>0.84 (1.12)</w:t>
            </w:r>
          </w:p>
        </w:tc>
        <w:tc>
          <w:tcPr>
            <w:tcW w:w="1587" w:type="dxa"/>
            <w:shd w:val="clear" w:color="auto" w:fill="FFFFFF"/>
            <w:tcMar>
              <w:top w:w="120" w:type="dxa"/>
              <w:left w:w="120" w:type="dxa"/>
              <w:bottom w:w="120" w:type="dxa"/>
              <w:right w:w="120" w:type="dxa"/>
            </w:tcMar>
            <w:hideMark/>
          </w:tcPr>
          <w:p w14:paraId="378D97B5"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4E01C6E1"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3537948F" w14:textId="77777777" w:rsidR="00392045" w:rsidRPr="008D47B7" w:rsidRDefault="00392045" w:rsidP="002B2366">
            <w:pPr>
              <w:rPr>
                <w:sz w:val="20"/>
                <w:szCs w:val="20"/>
              </w:rPr>
            </w:pPr>
          </w:p>
        </w:tc>
      </w:tr>
      <w:tr w:rsidR="00392045" w:rsidRPr="008D47B7" w14:paraId="28F28819" w14:textId="77777777" w:rsidTr="002B2366">
        <w:trPr>
          <w:trHeight w:val="57"/>
        </w:trPr>
        <w:tc>
          <w:tcPr>
            <w:tcW w:w="1701" w:type="dxa"/>
            <w:vMerge/>
            <w:shd w:val="clear" w:color="auto" w:fill="FFFFFF"/>
            <w:vAlign w:val="center"/>
            <w:hideMark/>
          </w:tcPr>
          <w:p w14:paraId="4807CD76"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6E621243" w14:textId="77777777" w:rsidR="00392045" w:rsidRPr="008D47B7" w:rsidRDefault="00392045" w:rsidP="002B2366">
            <w:pPr>
              <w:rPr>
                <w:sz w:val="20"/>
                <w:szCs w:val="20"/>
              </w:rPr>
            </w:pPr>
            <w:r w:rsidRPr="008D47B7">
              <w:rPr>
                <w:sz w:val="20"/>
                <w:szCs w:val="20"/>
              </w:rPr>
              <w:t>Beliefs</w:t>
            </w:r>
          </w:p>
        </w:tc>
        <w:tc>
          <w:tcPr>
            <w:tcW w:w="1474" w:type="dxa"/>
            <w:shd w:val="clear" w:color="auto" w:fill="FFFFFF"/>
            <w:tcMar>
              <w:top w:w="120" w:type="dxa"/>
              <w:left w:w="120" w:type="dxa"/>
              <w:bottom w:w="120" w:type="dxa"/>
              <w:right w:w="120" w:type="dxa"/>
            </w:tcMar>
            <w:hideMark/>
          </w:tcPr>
          <w:p w14:paraId="436391D8" w14:textId="77777777" w:rsidR="00392045" w:rsidRPr="008D47B7" w:rsidRDefault="00392045" w:rsidP="002B2366">
            <w:pPr>
              <w:rPr>
                <w:sz w:val="20"/>
                <w:szCs w:val="20"/>
              </w:rPr>
            </w:pPr>
            <w:r w:rsidRPr="008D47B7">
              <w:rPr>
                <w:sz w:val="20"/>
                <w:szCs w:val="20"/>
              </w:rPr>
              <w:t>0.37 (1.21)</w:t>
            </w:r>
          </w:p>
        </w:tc>
        <w:tc>
          <w:tcPr>
            <w:tcW w:w="1587" w:type="dxa"/>
            <w:shd w:val="clear" w:color="auto" w:fill="FFFFFF"/>
            <w:tcMar>
              <w:top w:w="120" w:type="dxa"/>
              <w:left w:w="120" w:type="dxa"/>
              <w:bottom w:w="120" w:type="dxa"/>
              <w:right w:w="120" w:type="dxa"/>
            </w:tcMar>
            <w:hideMark/>
          </w:tcPr>
          <w:p w14:paraId="5DDEEEE6"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4C7FC8D1"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5D47DCE8" w14:textId="77777777" w:rsidR="00392045" w:rsidRPr="008D47B7" w:rsidRDefault="00392045" w:rsidP="002B2366">
            <w:pPr>
              <w:rPr>
                <w:sz w:val="20"/>
                <w:szCs w:val="20"/>
              </w:rPr>
            </w:pPr>
          </w:p>
        </w:tc>
      </w:tr>
      <w:tr w:rsidR="00392045" w:rsidRPr="008D47B7" w14:paraId="378F84C4" w14:textId="77777777" w:rsidTr="002B2366">
        <w:trPr>
          <w:trHeight w:val="57"/>
        </w:trPr>
        <w:tc>
          <w:tcPr>
            <w:tcW w:w="1701" w:type="dxa"/>
            <w:vMerge/>
            <w:shd w:val="clear" w:color="auto" w:fill="FFFFFF"/>
            <w:vAlign w:val="center"/>
            <w:hideMark/>
          </w:tcPr>
          <w:p w14:paraId="7B5BFC6C"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12EFB72B" w14:textId="77777777" w:rsidR="00392045" w:rsidRPr="008D47B7" w:rsidRDefault="00392045" w:rsidP="002B2366">
            <w:pPr>
              <w:rPr>
                <w:sz w:val="20"/>
                <w:szCs w:val="20"/>
              </w:rPr>
            </w:pPr>
            <w:r w:rsidRPr="008D47B7">
              <w:rPr>
                <w:sz w:val="20"/>
                <w:szCs w:val="20"/>
              </w:rPr>
              <w:t>Eating Habits</w:t>
            </w:r>
          </w:p>
        </w:tc>
        <w:tc>
          <w:tcPr>
            <w:tcW w:w="1474" w:type="dxa"/>
            <w:shd w:val="clear" w:color="auto" w:fill="FFFFFF"/>
            <w:tcMar>
              <w:top w:w="120" w:type="dxa"/>
              <w:left w:w="120" w:type="dxa"/>
              <w:bottom w:w="120" w:type="dxa"/>
              <w:right w:w="120" w:type="dxa"/>
            </w:tcMar>
            <w:hideMark/>
          </w:tcPr>
          <w:p w14:paraId="1152B0E2" w14:textId="77777777" w:rsidR="00392045" w:rsidRPr="008D47B7" w:rsidRDefault="00392045" w:rsidP="002B2366">
            <w:pPr>
              <w:rPr>
                <w:sz w:val="20"/>
                <w:szCs w:val="20"/>
              </w:rPr>
            </w:pPr>
            <w:r w:rsidRPr="008D47B7">
              <w:rPr>
                <w:sz w:val="20"/>
                <w:szCs w:val="20"/>
              </w:rPr>
              <w:t>0.95 (1.58)</w:t>
            </w:r>
          </w:p>
        </w:tc>
        <w:tc>
          <w:tcPr>
            <w:tcW w:w="1587" w:type="dxa"/>
            <w:shd w:val="clear" w:color="auto" w:fill="FFFFFF"/>
            <w:tcMar>
              <w:top w:w="120" w:type="dxa"/>
              <w:left w:w="120" w:type="dxa"/>
              <w:bottom w:w="120" w:type="dxa"/>
              <w:right w:w="120" w:type="dxa"/>
            </w:tcMar>
            <w:hideMark/>
          </w:tcPr>
          <w:p w14:paraId="2C5893C9"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5D2A5D03"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3D3F1182" w14:textId="77777777" w:rsidR="00392045" w:rsidRPr="008D47B7" w:rsidRDefault="00392045" w:rsidP="002B2366">
            <w:pPr>
              <w:rPr>
                <w:sz w:val="20"/>
                <w:szCs w:val="20"/>
              </w:rPr>
            </w:pPr>
          </w:p>
        </w:tc>
      </w:tr>
      <w:tr w:rsidR="00392045" w:rsidRPr="008D47B7" w14:paraId="03B4F43B" w14:textId="77777777" w:rsidTr="002B2366">
        <w:trPr>
          <w:trHeight w:val="57"/>
        </w:trPr>
        <w:tc>
          <w:tcPr>
            <w:tcW w:w="1701" w:type="dxa"/>
            <w:vMerge/>
            <w:shd w:val="clear" w:color="auto" w:fill="FFFFFF"/>
            <w:vAlign w:val="center"/>
            <w:hideMark/>
          </w:tcPr>
          <w:p w14:paraId="17E51332"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4A1E1D49" w14:textId="77777777" w:rsidR="00392045" w:rsidRPr="008D47B7" w:rsidRDefault="00392045" w:rsidP="002B2366">
            <w:pPr>
              <w:rPr>
                <w:sz w:val="20"/>
                <w:szCs w:val="20"/>
              </w:rPr>
            </w:pPr>
            <w:r w:rsidRPr="008D47B7">
              <w:rPr>
                <w:sz w:val="20"/>
                <w:szCs w:val="20"/>
              </w:rPr>
              <w:t>Everyday Skills</w:t>
            </w:r>
          </w:p>
        </w:tc>
        <w:tc>
          <w:tcPr>
            <w:tcW w:w="1474" w:type="dxa"/>
            <w:shd w:val="clear" w:color="auto" w:fill="FFFFFF"/>
            <w:tcMar>
              <w:top w:w="120" w:type="dxa"/>
              <w:left w:w="120" w:type="dxa"/>
              <w:bottom w:w="120" w:type="dxa"/>
              <w:right w:w="120" w:type="dxa"/>
            </w:tcMar>
            <w:hideMark/>
          </w:tcPr>
          <w:p w14:paraId="0056553C" w14:textId="77777777" w:rsidR="00392045" w:rsidRPr="008D47B7" w:rsidRDefault="00392045" w:rsidP="002B2366">
            <w:pPr>
              <w:rPr>
                <w:sz w:val="20"/>
                <w:szCs w:val="20"/>
              </w:rPr>
            </w:pPr>
            <w:r w:rsidRPr="008D47B7">
              <w:rPr>
                <w:sz w:val="20"/>
                <w:szCs w:val="20"/>
              </w:rPr>
              <w:t>1.16 (2.41)</w:t>
            </w:r>
          </w:p>
        </w:tc>
        <w:tc>
          <w:tcPr>
            <w:tcW w:w="1587" w:type="dxa"/>
            <w:shd w:val="clear" w:color="auto" w:fill="FFFFFF"/>
            <w:tcMar>
              <w:top w:w="120" w:type="dxa"/>
              <w:left w:w="120" w:type="dxa"/>
              <w:bottom w:w="120" w:type="dxa"/>
              <w:right w:w="120" w:type="dxa"/>
            </w:tcMar>
            <w:hideMark/>
          </w:tcPr>
          <w:p w14:paraId="0B109EDD"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17AB4361"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20449FD8" w14:textId="77777777" w:rsidR="00392045" w:rsidRPr="008D47B7" w:rsidRDefault="00392045" w:rsidP="002B2366">
            <w:pPr>
              <w:rPr>
                <w:sz w:val="20"/>
                <w:szCs w:val="20"/>
              </w:rPr>
            </w:pPr>
          </w:p>
        </w:tc>
      </w:tr>
      <w:tr w:rsidR="00392045" w:rsidRPr="008D47B7" w14:paraId="5DE30214" w14:textId="77777777" w:rsidTr="002B2366">
        <w:trPr>
          <w:trHeight w:val="57"/>
        </w:trPr>
        <w:tc>
          <w:tcPr>
            <w:tcW w:w="1701" w:type="dxa"/>
            <w:vMerge/>
            <w:shd w:val="clear" w:color="auto" w:fill="FFFFFF"/>
            <w:vAlign w:val="center"/>
            <w:hideMark/>
          </w:tcPr>
          <w:p w14:paraId="500A3397"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326A1A3C" w14:textId="77777777" w:rsidR="00392045" w:rsidRPr="008D47B7" w:rsidRDefault="00392045" w:rsidP="002B2366">
            <w:pPr>
              <w:rPr>
                <w:sz w:val="20"/>
                <w:szCs w:val="20"/>
              </w:rPr>
            </w:pPr>
            <w:r w:rsidRPr="008D47B7">
              <w:rPr>
                <w:sz w:val="20"/>
                <w:szCs w:val="20"/>
              </w:rPr>
              <w:t>Memory and Orientation</w:t>
            </w:r>
          </w:p>
        </w:tc>
        <w:tc>
          <w:tcPr>
            <w:tcW w:w="1474" w:type="dxa"/>
            <w:shd w:val="clear" w:color="auto" w:fill="FFFFFF"/>
            <w:tcMar>
              <w:top w:w="120" w:type="dxa"/>
              <w:left w:w="120" w:type="dxa"/>
              <w:bottom w:w="120" w:type="dxa"/>
              <w:right w:w="120" w:type="dxa"/>
            </w:tcMar>
            <w:hideMark/>
          </w:tcPr>
          <w:p w14:paraId="2B7D4105" w14:textId="77777777" w:rsidR="00392045" w:rsidRPr="008D47B7" w:rsidRDefault="00392045" w:rsidP="002B2366">
            <w:pPr>
              <w:rPr>
                <w:sz w:val="20"/>
                <w:szCs w:val="20"/>
              </w:rPr>
            </w:pPr>
            <w:r w:rsidRPr="008D47B7">
              <w:rPr>
                <w:sz w:val="20"/>
                <w:szCs w:val="20"/>
              </w:rPr>
              <w:t>4.66 (3.9)</w:t>
            </w:r>
          </w:p>
        </w:tc>
        <w:tc>
          <w:tcPr>
            <w:tcW w:w="1587" w:type="dxa"/>
            <w:shd w:val="clear" w:color="auto" w:fill="FFFFFF"/>
            <w:tcMar>
              <w:top w:w="120" w:type="dxa"/>
              <w:left w:w="120" w:type="dxa"/>
              <w:bottom w:w="120" w:type="dxa"/>
              <w:right w:w="120" w:type="dxa"/>
            </w:tcMar>
            <w:hideMark/>
          </w:tcPr>
          <w:p w14:paraId="7F3432C1"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108C236E"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6B37FC9D" w14:textId="77777777" w:rsidR="00392045" w:rsidRPr="008D47B7" w:rsidRDefault="00392045" w:rsidP="002B2366">
            <w:pPr>
              <w:rPr>
                <w:sz w:val="20"/>
                <w:szCs w:val="20"/>
              </w:rPr>
            </w:pPr>
          </w:p>
        </w:tc>
      </w:tr>
      <w:tr w:rsidR="00392045" w:rsidRPr="008D47B7" w14:paraId="55274533" w14:textId="77777777" w:rsidTr="002B2366">
        <w:trPr>
          <w:trHeight w:val="57"/>
        </w:trPr>
        <w:tc>
          <w:tcPr>
            <w:tcW w:w="1701" w:type="dxa"/>
            <w:vMerge/>
            <w:shd w:val="clear" w:color="auto" w:fill="FFFFFF"/>
            <w:vAlign w:val="center"/>
            <w:hideMark/>
          </w:tcPr>
          <w:p w14:paraId="68D39A98"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18DEB78D" w14:textId="77777777" w:rsidR="00392045" w:rsidRPr="008D47B7" w:rsidRDefault="00392045" w:rsidP="002B2366">
            <w:pPr>
              <w:rPr>
                <w:sz w:val="20"/>
                <w:szCs w:val="20"/>
              </w:rPr>
            </w:pPr>
            <w:r w:rsidRPr="008D47B7">
              <w:rPr>
                <w:sz w:val="20"/>
                <w:szCs w:val="20"/>
              </w:rPr>
              <w:t>Mood</w:t>
            </w:r>
          </w:p>
        </w:tc>
        <w:tc>
          <w:tcPr>
            <w:tcW w:w="1474" w:type="dxa"/>
            <w:shd w:val="clear" w:color="auto" w:fill="FFFFFF"/>
            <w:tcMar>
              <w:top w:w="120" w:type="dxa"/>
              <w:left w:w="120" w:type="dxa"/>
              <w:bottom w:w="120" w:type="dxa"/>
              <w:right w:w="120" w:type="dxa"/>
            </w:tcMar>
            <w:hideMark/>
          </w:tcPr>
          <w:p w14:paraId="33345924" w14:textId="77777777" w:rsidR="00392045" w:rsidRPr="008D47B7" w:rsidRDefault="00392045" w:rsidP="002B2366">
            <w:pPr>
              <w:rPr>
                <w:sz w:val="20"/>
                <w:szCs w:val="20"/>
              </w:rPr>
            </w:pPr>
            <w:r w:rsidRPr="008D47B7">
              <w:rPr>
                <w:sz w:val="20"/>
                <w:szCs w:val="20"/>
              </w:rPr>
              <w:t>1.26 (2.1)</w:t>
            </w:r>
          </w:p>
        </w:tc>
        <w:tc>
          <w:tcPr>
            <w:tcW w:w="1587" w:type="dxa"/>
            <w:shd w:val="clear" w:color="auto" w:fill="FFFFFF"/>
            <w:tcMar>
              <w:top w:w="120" w:type="dxa"/>
              <w:left w:w="120" w:type="dxa"/>
              <w:bottom w:w="120" w:type="dxa"/>
              <w:right w:w="120" w:type="dxa"/>
            </w:tcMar>
            <w:hideMark/>
          </w:tcPr>
          <w:p w14:paraId="7A4C8767"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64F365A3"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688F1BB8" w14:textId="77777777" w:rsidR="00392045" w:rsidRPr="008D47B7" w:rsidRDefault="00392045" w:rsidP="002B2366">
            <w:pPr>
              <w:rPr>
                <w:sz w:val="20"/>
                <w:szCs w:val="20"/>
              </w:rPr>
            </w:pPr>
          </w:p>
        </w:tc>
      </w:tr>
      <w:tr w:rsidR="00392045" w:rsidRPr="008D47B7" w14:paraId="0CDCBCF2" w14:textId="77777777" w:rsidTr="002B2366">
        <w:trPr>
          <w:trHeight w:val="57"/>
        </w:trPr>
        <w:tc>
          <w:tcPr>
            <w:tcW w:w="1701" w:type="dxa"/>
            <w:vMerge/>
            <w:shd w:val="clear" w:color="auto" w:fill="FFFFFF"/>
            <w:vAlign w:val="center"/>
            <w:hideMark/>
          </w:tcPr>
          <w:p w14:paraId="5E9689D2"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50322464" w14:textId="77777777" w:rsidR="00392045" w:rsidRPr="008D47B7" w:rsidRDefault="00392045" w:rsidP="002B2366">
            <w:pPr>
              <w:rPr>
                <w:sz w:val="20"/>
                <w:szCs w:val="20"/>
              </w:rPr>
            </w:pPr>
            <w:r w:rsidRPr="008D47B7">
              <w:rPr>
                <w:sz w:val="20"/>
                <w:szCs w:val="20"/>
              </w:rPr>
              <w:t>Motivation</w:t>
            </w:r>
          </w:p>
        </w:tc>
        <w:tc>
          <w:tcPr>
            <w:tcW w:w="1474" w:type="dxa"/>
            <w:shd w:val="clear" w:color="auto" w:fill="FFFFFF"/>
            <w:tcMar>
              <w:top w:w="120" w:type="dxa"/>
              <w:left w:w="120" w:type="dxa"/>
              <w:bottom w:w="120" w:type="dxa"/>
              <w:right w:w="120" w:type="dxa"/>
            </w:tcMar>
            <w:hideMark/>
          </w:tcPr>
          <w:p w14:paraId="2EAAE7C5" w14:textId="77777777" w:rsidR="00392045" w:rsidRPr="008D47B7" w:rsidRDefault="00392045" w:rsidP="002B2366">
            <w:pPr>
              <w:rPr>
                <w:sz w:val="20"/>
                <w:szCs w:val="20"/>
              </w:rPr>
            </w:pPr>
            <w:r w:rsidRPr="008D47B7">
              <w:rPr>
                <w:sz w:val="20"/>
                <w:szCs w:val="20"/>
              </w:rPr>
              <w:t>2.26 (3.35)</w:t>
            </w:r>
          </w:p>
        </w:tc>
        <w:tc>
          <w:tcPr>
            <w:tcW w:w="1587" w:type="dxa"/>
            <w:shd w:val="clear" w:color="auto" w:fill="FFFFFF"/>
            <w:tcMar>
              <w:top w:w="120" w:type="dxa"/>
              <w:left w:w="120" w:type="dxa"/>
              <w:bottom w:w="120" w:type="dxa"/>
              <w:right w:w="120" w:type="dxa"/>
            </w:tcMar>
            <w:hideMark/>
          </w:tcPr>
          <w:p w14:paraId="6D8A496E"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6D2FEB22"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625C6006" w14:textId="77777777" w:rsidR="00392045" w:rsidRPr="008D47B7" w:rsidRDefault="00392045" w:rsidP="002B2366">
            <w:pPr>
              <w:rPr>
                <w:sz w:val="20"/>
                <w:szCs w:val="20"/>
              </w:rPr>
            </w:pPr>
          </w:p>
        </w:tc>
      </w:tr>
      <w:tr w:rsidR="00392045" w:rsidRPr="008D47B7" w14:paraId="7A8D9535" w14:textId="77777777" w:rsidTr="002B2366">
        <w:trPr>
          <w:trHeight w:val="57"/>
        </w:trPr>
        <w:tc>
          <w:tcPr>
            <w:tcW w:w="1701" w:type="dxa"/>
            <w:vMerge/>
            <w:shd w:val="clear" w:color="auto" w:fill="FFFFFF"/>
            <w:vAlign w:val="center"/>
            <w:hideMark/>
          </w:tcPr>
          <w:p w14:paraId="0B493F92"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14188B99" w14:textId="77777777" w:rsidR="00392045" w:rsidRPr="008D47B7" w:rsidRDefault="00392045" w:rsidP="002B2366">
            <w:pPr>
              <w:rPr>
                <w:sz w:val="20"/>
                <w:szCs w:val="20"/>
              </w:rPr>
            </w:pPr>
            <w:r w:rsidRPr="008D47B7">
              <w:rPr>
                <w:sz w:val="20"/>
                <w:szCs w:val="20"/>
              </w:rPr>
              <w:t>Stereotypic and Motor Behaviours</w:t>
            </w:r>
          </w:p>
        </w:tc>
        <w:tc>
          <w:tcPr>
            <w:tcW w:w="1474" w:type="dxa"/>
            <w:shd w:val="clear" w:color="auto" w:fill="FFFFFF"/>
            <w:tcMar>
              <w:top w:w="120" w:type="dxa"/>
              <w:left w:w="120" w:type="dxa"/>
              <w:bottom w:w="120" w:type="dxa"/>
              <w:right w:w="120" w:type="dxa"/>
            </w:tcMar>
            <w:hideMark/>
          </w:tcPr>
          <w:p w14:paraId="0CB031F8" w14:textId="77777777" w:rsidR="00392045" w:rsidRPr="008D47B7" w:rsidRDefault="00392045" w:rsidP="002B2366">
            <w:pPr>
              <w:rPr>
                <w:sz w:val="20"/>
                <w:szCs w:val="20"/>
              </w:rPr>
            </w:pPr>
            <w:r w:rsidRPr="008D47B7">
              <w:rPr>
                <w:sz w:val="20"/>
                <w:szCs w:val="20"/>
              </w:rPr>
              <w:t>0.79 (1.4)</w:t>
            </w:r>
          </w:p>
        </w:tc>
        <w:tc>
          <w:tcPr>
            <w:tcW w:w="1587" w:type="dxa"/>
            <w:shd w:val="clear" w:color="auto" w:fill="FFFFFF"/>
            <w:tcMar>
              <w:top w:w="120" w:type="dxa"/>
              <w:left w:w="120" w:type="dxa"/>
              <w:bottom w:w="120" w:type="dxa"/>
              <w:right w:w="120" w:type="dxa"/>
            </w:tcMar>
            <w:hideMark/>
          </w:tcPr>
          <w:p w14:paraId="5E79B236"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7DB6A784"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6345745A" w14:textId="77777777" w:rsidR="00392045" w:rsidRPr="008D47B7" w:rsidRDefault="00392045" w:rsidP="002B2366">
            <w:pPr>
              <w:rPr>
                <w:sz w:val="20"/>
                <w:szCs w:val="20"/>
              </w:rPr>
            </w:pPr>
          </w:p>
        </w:tc>
      </w:tr>
      <w:tr w:rsidR="00392045" w:rsidRPr="008D47B7" w14:paraId="3F0D2090" w14:textId="77777777" w:rsidTr="002B2366">
        <w:trPr>
          <w:trHeight w:val="57"/>
        </w:trPr>
        <w:tc>
          <w:tcPr>
            <w:tcW w:w="1701" w:type="dxa"/>
            <w:vMerge/>
            <w:shd w:val="clear" w:color="auto" w:fill="FFFFFF"/>
            <w:vAlign w:val="center"/>
            <w:hideMark/>
          </w:tcPr>
          <w:p w14:paraId="24A1FD67"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758328AA" w14:textId="77777777" w:rsidR="00392045" w:rsidRPr="008D47B7" w:rsidRDefault="00392045" w:rsidP="002B2366">
            <w:pPr>
              <w:rPr>
                <w:sz w:val="20"/>
                <w:szCs w:val="20"/>
              </w:rPr>
            </w:pPr>
            <w:proofErr w:type="spellStart"/>
            <w:r w:rsidRPr="008D47B7">
              <w:rPr>
                <w:sz w:val="20"/>
                <w:szCs w:val="20"/>
              </w:rPr>
              <w:t>Self Care</w:t>
            </w:r>
            <w:proofErr w:type="spellEnd"/>
          </w:p>
        </w:tc>
        <w:tc>
          <w:tcPr>
            <w:tcW w:w="1474" w:type="dxa"/>
            <w:shd w:val="clear" w:color="auto" w:fill="FFFFFF"/>
            <w:tcMar>
              <w:top w:w="120" w:type="dxa"/>
              <w:left w:w="120" w:type="dxa"/>
              <w:bottom w:w="120" w:type="dxa"/>
              <w:right w:w="120" w:type="dxa"/>
            </w:tcMar>
            <w:hideMark/>
          </w:tcPr>
          <w:p w14:paraId="43BBF034" w14:textId="77777777" w:rsidR="00392045" w:rsidRPr="008D47B7" w:rsidRDefault="00392045" w:rsidP="002B2366">
            <w:pPr>
              <w:rPr>
                <w:sz w:val="20"/>
                <w:szCs w:val="20"/>
              </w:rPr>
            </w:pPr>
            <w:r w:rsidRPr="008D47B7">
              <w:rPr>
                <w:sz w:val="20"/>
                <w:szCs w:val="20"/>
              </w:rPr>
              <w:t>0.42 (0.84)</w:t>
            </w:r>
          </w:p>
        </w:tc>
        <w:tc>
          <w:tcPr>
            <w:tcW w:w="1587" w:type="dxa"/>
            <w:shd w:val="clear" w:color="auto" w:fill="FFFFFF"/>
            <w:tcMar>
              <w:top w:w="120" w:type="dxa"/>
              <w:left w:w="120" w:type="dxa"/>
              <w:bottom w:w="120" w:type="dxa"/>
              <w:right w:w="120" w:type="dxa"/>
            </w:tcMar>
            <w:hideMark/>
          </w:tcPr>
          <w:p w14:paraId="1BFACAD7"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7F446CAC" w14:textId="77777777" w:rsidR="00392045" w:rsidRPr="008D47B7" w:rsidRDefault="00392045" w:rsidP="002B2366">
            <w:pPr>
              <w:rPr>
                <w:sz w:val="20"/>
                <w:szCs w:val="20"/>
              </w:rPr>
            </w:pPr>
          </w:p>
        </w:tc>
        <w:tc>
          <w:tcPr>
            <w:tcW w:w="0" w:type="auto"/>
            <w:shd w:val="clear" w:color="auto" w:fill="FFFFFF"/>
            <w:tcMar>
              <w:top w:w="120" w:type="dxa"/>
              <w:left w:w="120" w:type="dxa"/>
              <w:bottom w:w="120" w:type="dxa"/>
              <w:right w:w="120" w:type="dxa"/>
            </w:tcMar>
            <w:hideMark/>
          </w:tcPr>
          <w:p w14:paraId="7F0A0921" w14:textId="77777777" w:rsidR="00392045" w:rsidRPr="008D47B7" w:rsidRDefault="00392045" w:rsidP="002B2366">
            <w:pPr>
              <w:rPr>
                <w:sz w:val="20"/>
                <w:szCs w:val="20"/>
              </w:rPr>
            </w:pPr>
          </w:p>
        </w:tc>
      </w:tr>
      <w:tr w:rsidR="00392045" w:rsidRPr="008D47B7" w14:paraId="7A2494CD" w14:textId="77777777" w:rsidTr="002B2366">
        <w:trPr>
          <w:trHeight w:val="57"/>
        </w:trPr>
        <w:tc>
          <w:tcPr>
            <w:tcW w:w="1701" w:type="dxa"/>
            <w:vMerge/>
            <w:tcBorders>
              <w:bottom w:val="single" w:sz="4" w:space="0" w:color="auto"/>
            </w:tcBorders>
            <w:shd w:val="clear" w:color="auto" w:fill="FFFFFF"/>
            <w:vAlign w:val="center"/>
            <w:hideMark/>
          </w:tcPr>
          <w:p w14:paraId="75A70B9A" w14:textId="77777777" w:rsidR="00392045" w:rsidRPr="008D47B7" w:rsidRDefault="00392045" w:rsidP="002B2366">
            <w:pPr>
              <w:rPr>
                <w:sz w:val="20"/>
                <w:szCs w:val="20"/>
              </w:rPr>
            </w:pPr>
          </w:p>
        </w:tc>
        <w:tc>
          <w:tcPr>
            <w:tcW w:w="0" w:type="auto"/>
            <w:tcBorders>
              <w:bottom w:val="single" w:sz="4" w:space="0" w:color="auto"/>
            </w:tcBorders>
            <w:shd w:val="clear" w:color="auto" w:fill="FFFFFF"/>
            <w:tcMar>
              <w:top w:w="120" w:type="dxa"/>
              <w:left w:w="120" w:type="dxa"/>
              <w:bottom w:w="120" w:type="dxa"/>
              <w:right w:w="120" w:type="dxa"/>
            </w:tcMar>
            <w:hideMark/>
          </w:tcPr>
          <w:p w14:paraId="2475043D" w14:textId="77777777" w:rsidR="00392045" w:rsidRPr="008D47B7" w:rsidRDefault="00392045" w:rsidP="002B2366">
            <w:pPr>
              <w:rPr>
                <w:sz w:val="20"/>
                <w:szCs w:val="20"/>
              </w:rPr>
            </w:pPr>
            <w:r w:rsidRPr="008D47B7">
              <w:rPr>
                <w:sz w:val="20"/>
                <w:szCs w:val="20"/>
              </w:rPr>
              <w:t>Sleep</w:t>
            </w:r>
          </w:p>
        </w:tc>
        <w:tc>
          <w:tcPr>
            <w:tcW w:w="1474" w:type="dxa"/>
            <w:tcBorders>
              <w:bottom w:val="single" w:sz="4" w:space="0" w:color="auto"/>
            </w:tcBorders>
            <w:shd w:val="clear" w:color="auto" w:fill="FFFFFF"/>
            <w:tcMar>
              <w:top w:w="120" w:type="dxa"/>
              <w:left w:w="120" w:type="dxa"/>
              <w:bottom w:w="120" w:type="dxa"/>
              <w:right w:w="120" w:type="dxa"/>
            </w:tcMar>
            <w:hideMark/>
          </w:tcPr>
          <w:p w14:paraId="38306437" w14:textId="77777777" w:rsidR="00392045" w:rsidRPr="008D47B7" w:rsidRDefault="00392045" w:rsidP="002B2366">
            <w:pPr>
              <w:rPr>
                <w:sz w:val="20"/>
                <w:szCs w:val="20"/>
              </w:rPr>
            </w:pPr>
            <w:r w:rsidRPr="008D47B7">
              <w:rPr>
                <w:sz w:val="20"/>
                <w:szCs w:val="20"/>
              </w:rPr>
              <w:t>2.42 (2.17)</w:t>
            </w:r>
          </w:p>
        </w:tc>
        <w:tc>
          <w:tcPr>
            <w:tcW w:w="1587" w:type="dxa"/>
            <w:tcBorders>
              <w:bottom w:val="single" w:sz="4" w:space="0" w:color="auto"/>
            </w:tcBorders>
            <w:shd w:val="clear" w:color="auto" w:fill="FFFFFF"/>
            <w:vAlign w:val="center"/>
            <w:hideMark/>
          </w:tcPr>
          <w:p w14:paraId="33815378" w14:textId="77777777" w:rsidR="00392045" w:rsidRPr="008D47B7" w:rsidRDefault="00392045" w:rsidP="002B2366">
            <w:pPr>
              <w:rPr>
                <w:sz w:val="20"/>
                <w:szCs w:val="20"/>
              </w:rPr>
            </w:pPr>
          </w:p>
        </w:tc>
        <w:tc>
          <w:tcPr>
            <w:tcW w:w="0" w:type="auto"/>
            <w:tcBorders>
              <w:bottom w:val="single" w:sz="4" w:space="0" w:color="auto"/>
            </w:tcBorders>
            <w:shd w:val="clear" w:color="auto" w:fill="FFFFFF"/>
            <w:vAlign w:val="center"/>
            <w:hideMark/>
          </w:tcPr>
          <w:p w14:paraId="036BF2FF" w14:textId="77777777" w:rsidR="00392045" w:rsidRPr="008D47B7" w:rsidRDefault="00392045" w:rsidP="002B2366">
            <w:pPr>
              <w:rPr>
                <w:sz w:val="20"/>
                <w:szCs w:val="20"/>
              </w:rPr>
            </w:pPr>
          </w:p>
        </w:tc>
        <w:tc>
          <w:tcPr>
            <w:tcW w:w="0" w:type="auto"/>
            <w:tcBorders>
              <w:bottom w:val="single" w:sz="4" w:space="0" w:color="auto"/>
            </w:tcBorders>
            <w:shd w:val="clear" w:color="auto" w:fill="FFFFFF"/>
            <w:vAlign w:val="center"/>
            <w:hideMark/>
          </w:tcPr>
          <w:p w14:paraId="5F55D04A" w14:textId="77777777" w:rsidR="00392045" w:rsidRPr="008D47B7" w:rsidRDefault="00392045" w:rsidP="002B2366">
            <w:pPr>
              <w:rPr>
                <w:sz w:val="20"/>
                <w:szCs w:val="20"/>
              </w:rPr>
            </w:pPr>
          </w:p>
        </w:tc>
      </w:tr>
    </w:tbl>
    <w:p w14:paraId="686D6838" w14:textId="77777777" w:rsidR="00392045" w:rsidRPr="00AE7810" w:rsidRDefault="00392045" w:rsidP="00392045">
      <w:pPr>
        <w:rPr>
          <w:sz w:val="20"/>
          <w:szCs w:val="20"/>
        </w:rPr>
      </w:pPr>
      <w:r w:rsidRPr="00C61FE0">
        <w:rPr>
          <w:i/>
          <w:sz w:val="20"/>
          <w:szCs w:val="20"/>
        </w:rPr>
        <w:t>Note</w:t>
      </w:r>
      <w:r w:rsidRPr="00C61FE0">
        <w:rPr>
          <w:sz w:val="20"/>
          <w:szCs w:val="20"/>
        </w:rPr>
        <w:t xml:space="preserve">: Data are presented as mean (SD). Group </w:t>
      </w:r>
      <w:r>
        <w:rPr>
          <w:sz w:val="20"/>
          <w:szCs w:val="20"/>
        </w:rPr>
        <w:t>c</w:t>
      </w:r>
      <w:r w:rsidRPr="00C61FE0">
        <w:rPr>
          <w:sz w:val="20"/>
          <w:szCs w:val="20"/>
        </w:rPr>
        <w:t xml:space="preserve">omparisons </w:t>
      </w:r>
      <w:r>
        <w:rPr>
          <w:sz w:val="20"/>
          <w:szCs w:val="20"/>
        </w:rPr>
        <w:t xml:space="preserve">were performed </w:t>
      </w:r>
      <w:r w:rsidRPr="00C61FE0">
        <w:rPr>
          <w:sz w:val="20"/>
          <w:szCs w:val="20"/>
        </w:rPr>
        <w:t>with independent samples t-tests</w:t>
      </w:r>
      <w:r>
        <w:rPr>
          <w:sz w:val="20"/>
          <w:szCs w:val="20"/>
        </w:rPr>
        <w:t>.</w:t>
      </w:r>
      <w:r w:rsidRPr="00C61FE0">
        <w:rPr>
          <w:sz w:val="20"/>
          <w:szCs w:val="20"/>
        </w:rPr>
        <w:t xml:space="preserve"> </w:t>
      </w:r>
      <w:r>
        <w:rPr>
          <w:sz w:val="20"/>
          <w:szCs w:val="20"/>
        </w:rPr>
        <w:t xml:space="preserve">The stated </w:t>
      </w:r>
      <w:r>
        <w:rPr>
          <w:i/>
          <w:sz w:val="20"/>
          <w:szCs w:val="20"/>
        </w:rPr>
        <w:t>p</w:t>
      </w:r>
      <w:r>
        <w:rPr>
          <w:sz w:val="20"/>
          <w:szCs w:val="20"/>
        </w:rPr>
        <w:t xml:space="preserve">-values are uncorrected; none survived </w:t>
      </w:r>
      <w:r>
        <w:rPr>
          <w:i/>
          <w:sz w:val="20"/>
          <w:szCs w:val="20"/>
        </w:rPr>
        <w:t xml:space="preserve">p </w:t>
      </w:r>
      <w:r>
        <w:rPr>
          <w:sz w:val="20"/>
          <w:szCs w:val="20"/>
        </w:rPr>
        <w:t>&lt; .05 after correction for multiple comparisons. Abbreviations: BF, Bayes Factor for the alternative hypothesis over the null hypothesis, where &gt; 3 would indicate positive evidence in favour of a group difference; BIS, Barratt Impulsiveness Scale; HADS, Hospital Anxiety and Depression Scale; MEI, Motivation and Energy Inventory; CAARS, Conners’ Adult ADHD Rating Scale; RBDSQ, REM sleep Behaviour Disorder Screening Questionnaire; CBI-R, Cambridge Behavioural Inventory – Revised.</w:t>
      </w:r>
    </w:p>
    <w:p w14:paraId="48440DFA" w14:textId="77777777" w:rsidR="00392045" w:rsidRDefault="00392045" w:rsidP="00392045">
      <w:pPr>
        <w:spacing w:before="200" w:after="200" w:line="360" w:lineRule="auto"/>
      </w:pPr>
      <w:r>
        <w:rPr>
          <w:noProof/>
        </w:rPr>
        <w:lastRenderedPageBreak/>
        <w:drawing>
          <wp:inline distT="0" distB="0" distL="0" distR="0" wp14:anchorId="207A1F68" wp14:editId="0813A7AF">
            <wp:extent cx="4177896" cy="6933362"/>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5-28 at 23.05.4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82020" cy="6940205"/>
                    </a:xfrm>
                    <a:prstGeom prst="rect">
                      <a:avLst/>
                    </a:prstGeom>
                  </pic:spPr>
                </pic:pic>
              </a:graphicData>
            </a:graphic>
          </wp:inline>
        </w:drawing>
      </w:r>
    </w:p>
    <w:p w14:paraId="183044FF" w14:textId="51251948" w:rsidR="00392045" w:rsidRDefault="00392045" w:rsidP="00392045">
      <w:pPr>
        <w:rPr>
          <w:sz w:val="20"/>
          <w:szCs w:val="20"/>
        </w:rPr>
      </w:pPr>
      <w:r w:rsidRPr="00B22612">
        <w:rPr>
          <w:b/>
          <w:sz w:val="20"/>
          <w:szCs w:val="20"/>
        </w:rPr>
        <w:t>Fig</w:t>
      </w:r>
      <w:r w:rsidR="008B2222">
        <w:rPr>
          <w:b/>
          <w:sz w:val="20"/>
          <w:szCs w:val="20"/>
        </w:rPr>
        <w:t xml:space="preserve"> A</w:t>
      </w:r>
      <w:r w:rsidRPr="00B22612">
        <w:rPr>
          <w:b/>
          <w:sz w:val="20"/>
          <w:szCs w:val="20"/>
        </w:rPr>
        <w:t xml:space="preserve"> | Density plots of questionnaire scores for participants with Parkinson’s disease (blue) and controls (orange). </w:t>
      </w:r>
      <w:r w:rsidRPr="00B22612">
        <w:rPr>
          <w:sz w:val="20"/>
          <w:szCs w:val="20"/>
        </w:rPr>
        <w:t>The questionnaire scores were z-scored to bring the different questionnaires onto a common scale (note that this transformation does not affect group comparisons for a given questionnaire outcome). Tick marks reflect individual data points.</w:t>
      </w:r>
      <w:r>
        <w:rPr>
          <w:sz w:val="20"/>
          <w:szCs w:val="20"/>
        </w:rPr>
        <w:t xml:space="preserve"> Abbreviations: BIS, Barratt Impulsiveness Scale; MEI, Motivation and Energy Inventory; HADS, Hospital Anxiety and Depression Scale; CAARS, Conners’ Adult ADHD Rating Scale.</w:t>
      </w:r>
    </w:p>
    <w:p w14:paraId="68EF2780" w14:textId="77777777" w:rsidR="00392045" w:rsidRDefault="00392045">
      <w:pPr>
        <w:rPr>
          <w:sz w:val="20"/>
          <w:szCs w:val="20"/>
        </w:rPr>
      </w:pPr>
      <w:r>
        <w:rPr>
          <w:sz w:val="20"/>
          <w:szCs w:val="20"/>
        </w:rPr>
        <w:br w:type="page"/>
      </w:r>
    </w:p>
    <w:p w14:paraId="33A3CAAE" w14:textId="5540B156" w:rsidR="00392045" w:rsidRDefault="00392045" w:rsidP="00392045">
      <w:pPr>
        <w:rPr>
          <w:b/>
        </w:rPr>
      </w:pPr>
      <w:r>
        <w:rPr>
          <w:b/>
        </w:rPr>
        <w:lastRenderedPageBreak/>
        <w:t>References</w:t>
      </w:r>
    </w:p>
    <w:p w14:paraId="2DE007E9" w14:textId="069C3D0E" w:rsidR="00B40560" w:rsidRDefault="00B40560" w:rsidP="00392045">
      <w:pPr>
        <w:rPr>
          <w:b/>
        </w:rPr>
      </w:pPr>
    </w:p>
    <w:p w14:paraId="0892AC5E" w14:textId="77777777" w:rsidR="008B2222" w:rsidRPr="008B2222" w:rsidRDefault="00B40560" w:rsidP="008B2222">
      <w:pPr>
        <w:pStyle w:val="Bibliography"/>
        <w:rPr>
          <w:lang w:val="en-US"/>
        </w:rPr>
      </w:pPr>
      <w:r>
        <w:rPr>
          <w:b/>
        </w:rPr>
        <w:fldChar w:fldCharType="begin"/>
      </w:r>
      <w:r>
        <w:rPr>
          <w:b/>
        </w:rPr>
        <w:instrText xml:space="preserve"> ADDIN ZOTERO_BIBL {"uncited":[],"omitted":[],"custom":[]} CSL_BIBLIOGRAPHY </w:instrText>
      </w:r>
      <w:r>
        <w:rPr>
          <w:b/>
        </w:rPr>
        <w:fldChar w:fldCharType="separate"/>
      </w:r>
      <w:r w:rsidR="008B2222" w:rsidRPr="008B2222">
        <w:rPr>
          <w:lang w:val="en-US"/>
        </w:rPr>
        <w:t xml:space="preserve">1. </w:t>
      </w:r>
      <w:r w:rsidR="008B2222" w:rsidRPr="008B2222">
        <w:rPr>
          <w:lang w:val="en-US"/>
        </w:rPr>
        <w:tab/>
        <w:t>Starkstein SE, Mayberg HS, Preziosi TJ, Andrezejewski P, Leiguarda R, Robinson RG. Reliability, validity, and clinical correlates of apathy in Parkinson’s disease. J Neuropsychiatry Clin Neurosci. 1992;4: 134–139. doi:10.1176/jnp.4.2.134</w:t>
      </w:r>
    </w:p>
    <w:p w14:paraId="7DEB3835" w14:textId="77777777" w:rsidR="008B2222" w:rsidRPr="008B2222" w:rsidRDefault="008B2222" w:rsidP="008B2222">
      <w:pPr>
        <w:pStyle w:val="Bibliography"/>
        <w:rPr>
          <w:lang w:val="en-US"/>
        </w:rPr>
      </w:pPr>
      <w:r w:rsidRPr="008B2222">
        <w:rPr>
          <w:lang w:val="en-US"/>
        </w:rPr>
        <w:t xml:space="preserve">2. </w:t>
      </w:r>
      <w:r w:rsidRPr="008B2222">
        <w:rPr>
          <w:lang w:val="en-US"/>
        </w:rPr>
        <w:tab/>
        <w:t>Patton JH, Stanford MS, Barratt ES. Factor structure of the barratt impulsiveness scale. J Clin Psychol. 1995;51: 768–774. doi:10.1002/1097-4679(199511)51:6\textless768::AID-JCLP2270510607\textgreater3.0.CO;2-1</w:t>
      </w:r>
    </w:p>
    <w:p w14:paraId="43D853F2" w14:textId="77777777" w:rsidR="008B2222" w:rsidRPr="008B2222" w:rsidRDefault="008B2222" w:rsidP="008B2222">
      <w:pPr>
        <w:pStyle w:val="Bibliography"/>
        <w:rPr>
          <w:lang w:val="en-US"/>
        </w:rPr>
      </w:pPr>
      <w:r w:rsidRPr="008B2222">
        <w:rPr>
          <w:lang w:val="en-US"/>
        </w:rPr>
        <w:t xml:space="preserve">3. </w:t>
      </w:r>
      <w:r w:rsidRPr="008B2222">
        <w:rPr>
          <w:lang w:val="en-US"/>
        </w:rPr>
        <w:tab/>
        <w:t>Fehnel SE, Bann CM, Hogue SL, Kwong WJ, Mahajan SS. The development and psychometric evaluation of the motivation and energy inventory (MEI). Qual Life Res. 2004;13: 1321–1336. doi:10.1023/B:QURE.0000037502.64077.4d</w:t>
      </w:r>
    </w:p>
    <w:p w14:paraId="5D194D25" w14:textId="77777777" w:rsidR="008B2222" w:rsidRPr="008B2222" w:rsidRDefault="008B2222" w:rsidP="008B2222">
      <w:pPr>
        <w:pStyle w:val="Bibliography"/>
        <w:rPr>
          <w:lang w:val="en-US"/>
        </w:rPr>
      </w:pPr>
      <w:r w:rsidRPr="008B2222">
        <w:rPr>
          <w:lang w:val="en-US"/>
        </w:rPr>
        <w:t xml:space="preserve">4. </w:t>
      </w:r>
      <w:r w:rsidRPr="008B2222">
        <w:rPr>
          <w:lang w:val="en-US"/>
        </w:rPr>
        <w:tab/>
        <w:t>Zigmond AS, Snaith RP. The Hospital Anxiety and Depression Scale. Acta Psychiatr Scand. 1983;67: 361–370. doi:10.1111/j.1600-0447.1983.tb09716.x</w:t>
      </w:r>
    </w:p>
    <w:p w14:paraId="2EB1634D" w14:textId="77777777" w:rsidR="008B2222" w:rsidRPr="008B2222" w:rsidRDefault="008B2222" w:rsidP="008B2222">
      <w:pPr>
        <w:pStyle w:val="Bibliography"/>
        <w:rPr>
          <w:lang w:val="en-US"/>
        </w:rPr>
      </w:pPr>
      <w:r w:rsidRPr="008B2222">
        <w:rPr>
          <w:lang w:val="en-US"/>
        </w:rPr>
        <w:t xml:space="preserve">5. </w:t>
      </w:r>
      <w:r w:rsidRPr="008B2222">
        <w:rPr>
          <w:lang w:val="en-US"/>
        </w:rPr>
        <w:tab/>
        <w:t>Conners CK, Erhardt D, Epstein JN, Parker JDA, Sitarenios G, Sparrow E. Self-ratings of ADHD symptoms in adults I: Factor structure and normative data. J Atten Disord. 1999;3: 141–151. doi:10.1177/108705479900300303</w:t>
      </w:r>
    </w:p>
    <w:p w14:paraId="663B5929" w14:textId="77777777" w:rsidR="008B2222" w:rsidRPr="008B2222" w:rsidRDefault="008B2222" w:rsidP="008B2222">
      <w:pPr>
        <w:pStyle w:val="Bibliography"/>
        <w:rPr>
          <w:lang w:val="en-US"/>
        </w:rPr>
      </w:pPr>
      <w:r w:rsidRPr="008B2222">
        <w:rPr>
          <w:lang w:val="en-US"/>
        </w:rPr>
        <w:t xml:space="preserve">6. </w:t>
      </w:r>
      <w:r w:rsidRPr="008B2222">
        <w:rPr>
          <w:lang w:val="en-US"/>
        </w:rPr>
        <w:tab/>
        <w:t>Stiasny‐Kolster K, Mayer G, Schäfer S, Möller JC, Heinzel‐Gutenbrunner M, Oertel WH. The REM sleep behavior disorder screening questionnaire—A new diagnostic instrument. Mov Disord. 2007;22: 2386–2393. doi:10.1002/mds.21740</w:t>
      </w:r>
    </w:p>
    <w:p w14:paraId="0DD87215" w14:textId="77777777" w:rsidR="008B2222" w:rsidRPr="008B2222" w:rsidRDefault="008B2222" w:rsidP="008B2222">
      <w:pPr>
        <w:pStyle w:val="Bibliography"/>
        <w:rPr>
          <w:lang w:val="en-US"/>
        </w:rPr>
      </w:pPr>
      <w:r w:rsidRPr="008B2222">
        <w:rPr>
          <w:lang w:val="en-US"/>
        </w:rPr>
        <w:t xml:space="preserve">7. </w:t>
      </w:r>
      <w:r w:rsidRPr="008B2222">
        <w:rPr>
          <w:lang w:val="en-US"/>
        </w:rPr>
        <w:tab/>
        <w:t>Wear HJ, Wedderburn CJ, Mioshi E, Williams-Gray CH, Mason SL, Barker RA, et al. The Cambridge Behavioural Inventory revised. Dement Neuropsychol. 2008;2: 102–107. doi:10.1590/S1980-57642009DN20200005</w:t>
      </w:r>
    </w:p>
    <w:p w14:paraId="32DEF989" w14:textId="439D5098" w:rsidR="00B40560" w:rsidRPr="00392045" w:rsidRDefault="00B40560" w:rsidP="00392045">
      <w:pPr>
        <w:rPr>
          <w:b/>
        </w:rPr>
      </w:pPr>
      <w:r>
        <w:rPr>
          <w:b/>
        </w:rPr>
        <w:fldChar w:fldCharType="end"/>
      </w:r>
    </w:p>
    <w:sectPr w:rsidR="00B40560" w:rsidRPr="00392045" w:rsidSect="006E2C0A">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45"/>
    <w:rsid w:val="001004CE"/>
    <w:rsid w:val="00392045"/>
    <w:rsid w:val="005A1240"/>
    <w:rsid w:val="006E2C0A"/>
    <w:rsid w:val="007E079B"/>
    <w:rsid w:val="008B2222"/>
    <w:rsid w:val="00B40560"/>
    <w:rsid w:val="00DC78D4"/>
    <w:rsid w:val="00F8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B487"/>
  <w15:chartTrackingRefBased/>
  <w15:docId w15:val="{726BD15F-8B29-4C45-AA70-5391491D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04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40560"/>
    <w:pPr>
      <w:tabs>
        <w:tab w:val="left" w:pos="380"/>
      </w:tabs>
      <w:spacing w:after="240"/>
      <w:ind w:left="384" w:hanging="384"/>
    </w:pPr>
  </w:style>
  <w:style w:type="paragraph" w:styleId="BalloonText">
    <w:name w:val="Balloon Text"/>
    <w:basedOn w:val="Normal"/>
    <w:link w:val="BalloonTextChar"/>
    <w:uiPriority w:val="99"/>
    <w:semiHidden/>
    <w:unhideWhenUsed/>
    <w:rsid w:val="008B2222"/>
    <w:rPr>
      <w:sz w:val="18"/>
      <w:szCs w:val="18"/>
    </w:rPr>
  </w:style>
  <w:style w:type="character" w:customStyle="1" w:styleId="BalloonTextChar">
    <w:name w:val="Balloon Text Char"/>
    <w:basedOn w:val="DefaultParagraphFont"/>
    <w:link w:val="BalloonText"/>
    <w:uiPriority w:val="99"/>
    <w:semiHidden/>
    <w:rsid w:val="008B2222"/>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2212</Words>
  <Characters>12611</Characters>
  <Application>Microsoft Office Word</Application>
  <DocSecurity>0</DocSecurity>
  <Lines>105</Lines>
  <Paragraphs>29</Paragraphs>
  <ScaleCrop>false</ScaleCrop>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Hezemans</dc:creator>
  <cp:keywords/>
  <dc:description/>
  <cp:lastModifiedBy>sydorenko sydorenko</cp:lastModifiedBy>
  <cp:revision>2</cp:revision>
  <dcterms:created xsi:type="dcterms:W3CDTF">2022-05-04T20:13:00Z</dcterms:created>
  <dcterms:modified xsi:type="dcterms:W3CDTF">2022-05-04T20:13:00Z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zotero-version="5.0.96.4"&gt;&lt;session id="gLZmLSxW"/&gt;&lt;style id="http://www.zotero.org/styles/plos-computational-biology"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