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4261" w14:textId="38AC0BC8" w:rsidR="00082C39" w:rsidRPr="00361D9E" w:rsidRDefault="00082C39" w:rsidP="00082C39">
      <w:pPr>
        <w:pStyle w:val="Heading2"/>
      </w:pPr>
      <w:r w:rsidRPr="00361D9E">
        <w:t>S</w:t>
      </w:r>
      <w:r w:rsidR="00D81512">
        <w:t>3</w:t>
      </w:r>
      <w:r>
        <w:t xml:space="preserve"> Appendix: </w:t>
      </w:r>
      <w:r w:rsidRPr="00361D9E">
        <w:t>Candidate Model Space and Model Selection</w:t>
      </w:r>
    </w:p>
    <w:p w14:paraId="078F384B" w14:textId="77777777" w:rsidR="00082C39" w:rsidRPr="00361D9E" w:rsidRDefault="00082C39" w:rsidP="00082C39">
      <w:pPr>
        <w:rPr>
          <w:sz w:val="18"/>
          <w:szCs w:val="18"/>
        </w:rPr>
      </w:pPr>
      <w:r w:rsidRPr="00361D9E">
        <w:rPr>
          <w:sz w:val="18"/>
          <w:szCs w:val="18"/>
        </w:rPr>
        <w:t xml:space="preserve">The model used in this paper was selected from a set of 13 models designed to look at the role of four pathways and their interactions: the cortico-striatal indirect; the cortico-subthalamic hyperdirect; thalamocortical relay; and the subthalamic-pallidal feedback. In total we tested 6 families of models, each subdivided into two </w:t>
      </w:r>
      <w:proofErr w:type="spellStart"/>
      <w:r w:rsidRPr="00361D9E">
        <w:rPr>
          <w:sz w:val="18"/>
          <w:szCs w:val="18"/>
        </w:rPr>
        <w:t>submodels</w:t>
      </w:r>
      <w:proofErr w:type="spellEnd"/>
      <w:r w:rsidRPr="00361D9E">
        <w:rPr>
          <w:sz w:val="18"/>
          <w:szCs w:val="18"/>
        </w:rPr>
        <w:t xml:space="preserve"> (see below), to yield 12 initial models. </w:t>
      </w:r>
    </w:p>
    <w:p w14:paraId="1C6F3970" w14:textId="77777777" w:rsidR="00082C39" w:rsidRPr="00361D9E" w:rsidRDefault="00082C39" w:rsidP="00082C39">
      <w:pPr>
        <w:pStyle w:val="ListParagraph"/>
        <w:numPr>
          <w:ilvl w:val="0"/>
          <w:numId w:val="1"/>
        </w:numPr>
        <w:rPr>
          <w:sz w:val="18"/>
          <w:szCs w:val="18"/>
        </w:rPr>
      </w:pPr>
      <w:r w:rsidRPr="00361D9E">
        <w:rPr>
          <w:sz w:val="18"/>
          <w:szCs w:val="18"/>
        </w:rPr>
        <w:t>+ indirect.</w:t>
      </w:r>
    </w:p>
    <w:p w14:paraId="71FB4D42" w14:textId="77777777" w:rsidR="00082C39" w:rsidRPr="00361D9E" w:rsidRDefault="00082C39" w:rsidP="00082C39">
      <w:pPr>
        <w:pStyle w:val="ListParagraph"/>
        <w:numPr>
          <w:ilvl w:val="0"/>
          <w:numId w:val="1"/>
        </w:numPr>
        <w:rPr>
          <w:sz w:val="18"/>
          <w:szCs w:val="18"/>
        </w:rPr>
      </w:pPr>
      <w:r w:rsidRPr="00361D9E">
        <w:rPr>
          <w:sz w:val="18"/>
          <w:szCs w:val="18"/>
        </w:rPr>
        <w:t>+ indirect/ + hyperdirect pathway.</w:t>
      </w:r>
    </w:p>
    <w:p w14:paraId="50CFD96F" w14:textId="77777777" w:rsidR="00082C39" w:rsidRPr="00361D9E" w:rsidRDefault="00082C39" w:rsidP="00082C39">
      <w:pPr>
        <w:pStyle w:val="ListParagraph"/>
        <w:numPr>
          <w:ilvl w:val="0"/>
          <w:numId w:val="1"/>
        </w:numPr>
        <w:rPr>
          <w:sz w:val="18"/>
          <w:szCs w:val="18"/>
        </w:rPr>
      </w:pPr>
      <w:r w:rsidRPr="00361D9E">
        <w:rPr>
          <w:sz w:val="18"/>
          <w:szCs w:val="18"/>
        </w:rPr>
        <w:t>+ hyperdirect / - indirect.</w:t>
      </w:r>
    </w:p>
    <w:p w14:paraId="50D545EC" w14:textId="77777777" w:rsidR="00082C39" w:rsidRPr="00361D9E" w:rsidRDefault="00082C39" w:rsidP="00082C39">
      <w:pPr>
        <w:pStyle w:val="ListParagraph"/>
        <w:numPr>
          <w:ilvl w:val="0"/>
          <w:numId w:val="1"/>
        </w:numPr>
        <w:rPr>
          <w:sz w:val="18"/>
          <w:szCs w:val="18"/>
        </w:rPr>
      </w:pPr>
      <w:r w:rsidRPr="00361D9E">
        <w:rPr>
          <w:sz w:val="18"/>
          <w:szCs w:val="18"/>
        </w:rPr>
        <w:t>+ indirect / - hyperdirect/ + thalamocortical.</w:t>
      </w:r>
    </w:p>
    <w:p w14:paraId="20E85D55" w14:textId="77777777" w:rsidR="00082C39" w:rsidRPr="00361D9E" w:rsidRDefault="00082C39" w:rsidP="00082C39">
      <w:pPr>
        <w:pStyle w:val="ListParagraph"/>
        <w:numPr>
          <w:ilvl w:val="0"/>
          <w:numId w:val="1"/>
        </w:numPr>
        <w:rPr>
          <w:sz w:val="18"/>
          <w:szCs w:val="18"/>
        </w:rPr>
      </w:pPr>
      <w:r w:rsidRPr="00361D9E">
        <w:rPr>
          <w:sz w:val="18"/>
          <w:szCs w:val="18"/>
        </w:rPr>
        <w:t>+ indirect / + hyperdirect/ + thalamocortical.</w:t>
      </w:r>
    </w:p>
    <w:p w14:paraId="0D513D41" w14:textId="77777777" w:rsidR="00082C39" w:rsidRPr="00361D9E" w:rsidRDefault="00082C39" w:rsidP="00082C39">
      <w:pPr>
        <w:pStyle w:val="ListParagraph"/>
        <w:numPr>
          <w:ilvl w:val="0"/>
          <w:numId w:val="1"/>
        </w:numPr>
        <w:rPr>
          <w:sz w:val="18"/>
          <w:szCs w:val="18"/>
        </w:rPr>
      </w:pPr>
      <w:r w:rsidRPr="00361D9E">
        <w:rPr>
          <w:sz w:val="18"/>
          <w:szCs w:val="18"/>
        </w:rPr>
        <w:t xml:space="preserve"> - indirect / + hyperdirect/ + thalamocortical.</w:t>
      </w:r>
    </w:p>
    <w:p w14:paraId="00A7A302" w14:textId="77777777" w:rsidR="00082C39" w:rsidRPr="00361D9E" w:rsidRDefault="00082C39" w:rsidP="00082C39">
      <w:pPr>
        <w:rPr>
          <w:sz w:val="18"/>
          <w:szCs w:val="18"/>
        </w:rPr>
      </w:pPr>
      <w:r w:rsidRPr="00361D9E">
        <w:rPr>
          <w:sz w:val="18"/>
          <w:szCs w:val="18"/>
        </w:rPr>
        <w:t>The second level of families (i.e., x.1-2) investigates whether the reciprocal network formed by the STN and GPe is required to explain observed patterns of connectivity in the data. A 13</w:t>
      </w:r>
      <w:r w:rsidRPr="00361D9E">
        <w:rPr>
          <w:sz w:val="18"/>
          <w:szCs w:val="18"/>
          <w:vertAlign w:val="superscript"/>
        </w:rPr>
        <w:t>th</w:t>
      </w:r>
      <w:r w:rsidRPr="00361D9E">
        <w:rPr>
          <w:sz w:val="18"/>
          <w:szCs w:val="18"/>
        </w:rPr>
        <w:t xml:space="preserve"> model including a connection from GPe to </w:t>
      </w:r>
      <w:proofErr w:type="spellStart"/>
      <w:r w:rsidRPr="00361D9E">
        <w:rPr>
          <w:sz w:val="18"/>
          <w:szCs w:val="18"/>
        </w:rPr>
        <w:t>GPi</w:t>
      </w:r>
      <w:proofErr w:type="spellEnd"/>
      <w:r w:rsidRPr="00361D9E">
        <w:rPr>
          <w:sz w:val="18"/>
          <w:szCs w:val="18"/>
        </w:rPr>
        <w:t xml:space="preserve"> amongst the full model was also tested following a reviewer’s comment.</w:t>
      </w:r>
    </w:p>
    <w:p w14:paraId="3A2546A3" w14:textId="43EECE3A" w:rsidR="00082C39" w:rsidRPr="00361D9E" w:rsidRDefault="00082C39" w:rsidP="00082C39">
      <w:pPr>
        <w:rPr>
          <w:rFonts w:cs="Times New Roman"/>
          <w:sz w:val="18"/>
          <w:szCs w:val="18"/>
        </w:rPr>
      </w:pPr>
      <w:r w:rsidRPr="00361D9E">
        <w:rPr>
          <w:sz w:val="18"/>
          <w:szCs w:val="18"/>
        </w:rPr>
        <w:t xml:space="preserve">To compare between ABC fitted models we used a previously described model comparison procedure </w:t>
      </w:r>
      <w:r w:rsidRPr="00361D9E">
        <w:rPr>
          <w:sz w:val="18"/>
          <w:szCs w:val="18"/>
        </w:rPr>
        <w:fldChar w:fldCharType="begin" w:fldLock="1"/>
      </w:r>
      <w:r w:rsidR="00040EDE">
        <w:rPr>
          <w:sz w:val="18"/>
          <w:szCs w:val="18"/>
        </w:rPr>
        <w:instrText>ADDIN CSL_CITATION {"citationItems":[{"id":"ITEM-1","itemData":{"DOI":"10.1098/rsif.2008.0172","ISSN":"1742-5689","abstract":"Approximate Bayesian computation (ABC) methods can be used to evaluate posterior distributions without having to calculate likelihoods. In this paper, we discuss and apply an ABC method based on sequential Monte Carlo (SMC) to estimate parameters of dynamical models. We show that ABC SMC provides information about the inferability of parameters and model sensitivity to changes in parameters, and tends to perform better than other ABC approaches. The algorithm is applied to several well-known biological systems, for which parameters and their credible intervals are inferred. Moreover, we develop ABC SMC as a tool for model selection; given a range of different mathematical descriptions, ABC SMC is able to choose the best model using the standard Bayesian model selection apparatus.","author":[{"dropping-particle":"","family":"Toni","given":"Tina","non-dropping-particle":"","parse-names":false,"suffix":""},{"dropping-particle":"","family":"Welch","given":"David","non-dropping-particle":"","parse-names":false,"suffix":""},{"dropping-particle":"","family":"Strelkowa","given":"Natalja","non-dropping-particle":"","parse-names":false,"suffix":""},{"dropping-particle":"","family":"Ipsen","given":"Andreas","non-dropping-particle":"","parse-names":false,"suffix":""},{"dropping-particle":"","family":"Stumpf","given":"Michael P.H","non-dropping-particle":"","parse-names":false,"suffix":""}],"container-title":"Journal of The Royal Society Interface","id":"ITEM-1","issue":"31","issued":{"date-parts":[["2009","2","6"]]},"page":"187-202","publisher":"The Royal SocietyLondon","title":"Approximate Bayesian computation scheme for parameter inference and model selection in dynamical systems","type":"article-journal","volume":"6"},"uris":["http://www.mendeley.com/documents/?uuid=56751709-bc77-4e1a-bcd2-eb0601250c8a"]}],"mendeley":{"formattedCitation":"[1]","plainTextFormattedCitation":"[1]","previouslyFormattedCitation":"[14]"},"properties":{"noteIndex":0},"schema":"https://github.com/citation-style-language/schema/raw/master/csl-citation.json"}</w:instrText>
      </w:r>
      <w:r w:rsidRPr="00361D9E">
        <w:rPr>
          <w:sz w:val="18"/>
          <w:szCs w:val="18"/>
        </w:rPr>
        <w:fldChar w:fldCharType="separate"/>
      </w:r>
      <w:r w:rsidR="00040EDE" w:rsidRPr="00040EDE">
        <w:rPr>
          <w:noProof/>
          <w:sz w:val="18"/>
          <w:szCs w:val="18"/>
        </w:rPr>
        <w:t>[1]</w:t>
      </w:r>
      <w:r w:rsidRPr="00361D9E">
        <w:rPr>
          <w:sz w:val="18"/>
          <w:szCs w:val="18"/>
        </w:rPr>
        <w:fldChar w:fldCharType="end"/>
      </w:r>
      <w:r w:rsidRPr="00361D9E">
        <w:rPr>
          <w:sz w:val="18"/>
          <w:szCs w:val="18"/>
        </w:rPr>
        <w:t>. Briefly, t</w:t>
      </w:r>
      <w:r w:rsidRPr="00361D9E">
        <w:rPr>
          <w:rFonts w:cs="Times New Roman"/>
          <w:sz w:val="18"/>
          <w:szCs w:val="18"/>
        </w:rPr>
        <w:t xml:space="preserve">he ABC approximated posterior distribution over parameters </w:t>
      </w:r>
      <m:oMath>
        <m:r>
          <w:rPr>
            <w:rFonts w:ascii="Cambria Math" w:hAnsi="Cambria Math" w:cs="Times New Roman"/>
            <w:sz w:val="18"/>
            <w:szCs w:val="18"/>
          </w:rPr>
          <m:t>P(θ|</m:t>
        </m:r>
        <m:sSub>
          <m:sSubPr>
            <m:ctrlPr>
              <w:rPr>
                <w:rFonts w:ascii="Cambria Math" w:hAnsi="Cambria Math"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0</m:t>
            </m:r>
          </m:sub>
        </m:sSub>
        <m:r>
          <w:rPr>
            <w:rFonts w:ascii="Cambria Math" w:hAnsi="Cambria Math" w:cs="Times New Roman"/>
            <w:sz w:val="18"/>
            <w:szCs w:val="18"/>
          </w:rPr>
          <m:t xml:space="preserve">) </m:t>
        </m:r>
      </m:oMath>
      <w:r w:rsidRPr="00361D9E">
        <w:rPr>
          <w:rFonts w:cs="Times New Roman"/>
          <w:sz w:val="18"/>
          <w:szCs w:val="18"/>
        </w:rPr>
        <w:t xml:space="preserve">can be used to approximate the model evidence </w:t>
      </w:r>
      <m:oMath>
        <m:r>
          <w:rPr>
            <w:rFonts w:ascii="Cambria Math" w:hAnsi="Cambria Math" w:cs="Times New Roman"/>
            <w:sz w:val="18"/>
            <w:szCs w:val="18"/>
          </w:rPr>
          <m:t>P</m:t>
        </m:r>
        <m:d>
          <m:dPr>
            <m:ctrlPr>
              <w:rPr>
                <w:rFonts w:ascii="Cambria Math" w:hAnsi="Cambria Math" w:cs="Times New Roman"/>
                <w:i/>
                <w:sz w:val="18"/>
                <w:szCs w:val="18"/>
              </w:rPr>
            </m:ctrlPr>
          </m:dPr>
          <m:e>
            <m:r>
              <w:rPr>
                <w:rFonts w:ascii="Cambria Math" w:hAnsi="Cambria Math" w:cs="Times New Roman"/>
                <w:sz w:val="18"/>
                <w:szCs w:val="18"/>
              </w:rPr>
              <m:t>M</m:t>
            </m:r>
          </m:e>
          <m:e>
            <m:sSub>
              <m:sSubPr>
                <m:ctrlPr>
                  <w:rPr>
                    <w:rFonts w:ascii="Cambria Math" w:hAnsi="Cambria Math"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0</m:t>
                </m:r>
              </m:sub>
            </m:sSub>
          </m:e>
        </m:d>
      </m:oMath>
      <w:r w:rsidRPr="00361D9E">
        <w:rPr>
          <w:rFonts w:cs="Times New Roman"/>
          <w:sz w:val="18"/>
          <w:szCs w:val="18"/>
        </w:rPr>
        <w:t xml:space="preserve">. This estimate is made by drawing </w:t>
      </w:r>
      <m:oMath>
        <m:r>
          <w:rPr>
            <w:rFonts w:ascii="Cambria Math" w:hAnsi="Cambria Math" w:cs="Times New Roman"/>
            <w:sz w:val="18"/>
            <w:szCs w:val="18"/>
          </w:rPr>
          <m:t>N</m:t>
        </m:r>
      </m:oMath>
      <w:r w:rsidRPr="00361D9E">
        <w:rPr>
          <w:rFonts w:cs="Times New Roman"/>
          <w:sz w:val="18"/>
          <w:szCs w:val="18"/>
        </w:rPr>
        <w:t xml:space="preserve"> times from the posterior and then computing an exceedance probability to estimate the marginal probability of the </w:t>
      </w:r>
      <w:proofErr w:type="spellStart"/>
      <w:r w:rsidRPr="00361D9E">
        <w:rPr>
          <w:rFonts w:cs="Times New Roman"/>
          <w:i/>
          <w:sz w:val="18"/>
          <w:szCs w:val="18"/>
        </w:rPr>
        <w:t>j</w:t>
      </w:r>
      <w:r w:rsidRPr="00361D9E">
        <w:rPr>
          <w:rFonts w:cs="Times New Roman"/>
          <w:i/>
          <w:sz w:val="18"/>
          <w:szCs w:val="18"/>
          <w:vertAlign w:val="superscript"/>
        </w:rPr>
        <w:t>th</w:t>
      </w:r>
      <w:proofErr w:type="spellEnd"/>
      <w:r w:rsidRPr="00361D9E">
        <w:rPr>
          <w:rFonts w:cs="Times New Roman"/>
          <w:sz w:val="18"/>
          <w:szCs w:val="18"/>
        </w:rPr>
        <w:t xml:space="preserve"> model </w:t>
      </w:r>
      <m:oMath>
        <m:r>
          <w:rPr>
            <w:rFonts w:ascii="Cambria Math" w:hAnsi="Cambria Math" w:cs="Times New Roman"/>
            <w:sz w:val="18"/>
            <w:szCs w:val="18"/>
          </w:rPr>
          <m:t>M</m:t>
        </m:r>
      </m:oMath>
      <w:r w:rsidRPr="00361D9E">
        <w:rPr>
          <w:rFonts w:cs="Times New Roman"/>
          <w:sz w:val="18"/>
          <w:szCs w:val="18"/>
        </w:rPr>
        <w:t xml:space="preserve"> given data </w:t>
      </w:r>
      <m:oMath>
        <m:sSub>
          <m:sSubPr>
            <m:ctrlPr>
              <w:rPr>
                <w:rFonts w:ascii="Cambria Math" w:hAnsi="Cambria Math"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0</m:t>
            </m:r>
          </m:sub>
        </m:sSub>
      </m:oMath>
      <w:r w:rsidRPr="00361D9E">
        <w:rPr>
          <w:rFonts w:cs="Times New Roman"/>
          <w:sz w:val="18"/>
          <w:szCs w:val="18"/>
        </w:rPr>
        <w:t xml:space="preserve"> </w:t>
      </w:r>
      <w:r w:rsidRPr="00361D9E">
        <w:rPr>
          <w:rFonts w:cs="Times New Roman"/>
          <w:sz w:val="18"/>
          <w:szCs w:val="18"/>
        </w:rPr>
        <w:fldChar w:fldCharType="begin" w:fldLock="1"/>
      </w:r>
      <w:r w:rsidR="00040EDE">
        <w:rPr>
          <w:rFonts w:cs="Times New Roman"/>
          <w:sz w:val="18"/>
          <w:szCs w:val="18"/>
        </w:rPr>
        <w:instrText>ADDIN CSL_CITATION {"citationItems":[{"id":"ITEM-1","itemData":{"DOI":"10.1093/bioinformatics/btp619","ISBN":"1367-4803","ISSN":"13674803","PMID":"19880371","abstract":"Motivation: Computer simulations have become an important tool across the biomedical sciences and beyond. For many important problems several different models or hypotheses exist and choosing which one best describes reality or observed data is not straightforward. We therefore require suitable statistical tools that allow us to choose rationally between different mechanistic models of e.g. signal transduction or gene regulation networks. This is particularly challenging in systems biology where only a small number of molecular species can be assayed at any given time and all measurements are subject to measurement uncertainty. Results: Here we develop such a model selection framework based on approximate Bayesian computation and employing sequential Monte Carlo sampling. We show that our approach can be applied across a wide range of biological scenarios, and we illustrate its use on real data describing influenza dynamics and the JAK-STAT signalling pathway. Bayesian model selection strikes a balance between the complexity of the simulation models and their ability to describe observed data. The present approach enables us to employ the whole formal apparatus to any system that can be (efficiently) simulated, even when exact likelihoods are computationally intractable. Contact: ttoni@imperial.ac.uk, m.stumpf@imperial.ac.uk Supplementary Information: Tutorial on ABC rejection and ABC SMC for parameter estimation and model selection. Derivation of ABC SMC model selection algorithms. Supplementary figures and datasets.\\n","author":[{"dropping-particle":"","family":"Toni","given":"Tina","non-dropping-particle":"","parse-names":false,"suffix":""},{"dropping-particle":"","family":"Stumpf","given":"Michael P H","non-dropping-particle":"","parse-names":false,"suffix":""}],"container-title":"Bioinformatics","id":"ITEM-1","issue":"1","issued":{"date-parts":[["2009"]]},"page":"104-110","title":"Simulation-based model selection for dynamical systems in systems and population biology","type":"article-journal","volume":"26"},"uris":["http://www.mendeley.com/documents/?uuid=0a4ccfc2-9c94-4ada-990a-537098298cb6"]}],"mendeley":{"formattedCitation":"[2]","manualFormatting":"(the approximate model evidence)","plainTextFormattedCitation":"[2]","previouslyFormattedCitation":"[15]"},"properties":{"noteIndex":0},"schema":"https://github.com/citation-style-language/schema/raw/master/csl-citation.json"}</w:instrText>
      </w:r>
      <w:r w:rsidRPr="00361D9E">
        <w:rPr>
          <w:rFonts w:cs="Times New Roman"/>
          <w:sz w:val="18"/>
          <w:szCs w:val="18"/>
        </w:rPr>
        <w:fldChar w:fldCharType="separate"/>
      </w:r>
      <w:r w:rsidRPr="00361D9E">
        <w:rPr>
          <w:rFonts w:cs="Times New Roman"/>
          <w:noProof/>
          <w:sz w:val="18"/>
          <w:szCs w:val="18"/>
        </w:rPr>
        <w:t>(the approximate model evidence)</w:t>
      </w:r>
      <w:r w:rsidRPr="00361D9E">
        <w:rPr>
          <w:rFonts w:cs="Times New Roman"/>
          <w:sz w:val="18"/>
          <w:szCs w:val="18"/>
        </w:rPr>
        <w:fldChar w:fldCharType="end"/>
      </w:r>
      <w:r w:rsidRPr="00361D9E">
        <w:rPr>
          <w:rFonts w:cs="Times New Roman"/>
          <w:sz w:val="18"/>
          <w:szCs w:val="18"/>
        </w:rPr>
        <w:t>:</w:t>
      </w:r>
    </w:p>
    <w:p w14:paraId="4313BCEC" w14:textId="77777777" w:rsidR="00082C39" w:rsidRPr="00361D9E" w:rsidRDefault="00082C39" w:rsidP="00082C39">
      <w:pPr>
        <w:rPr>
          <w:rFonts w:cs="Times New Roman"/>
          <w:i/>
          <w:sz w:val="18"/>
          <w:szCs w:val="18"/>
        </w:rPr>
      </w:pPr>
      <m:oMathPara>
        <m:oMath>
          <m:r>
            <w:rPr>
              <w:rFonts w:ascii="Cambria Math" w:hAnsi="Cambria Math" w:cs="Times New Roman"/>
              <w:sz w:val="18"/>
              <w:szCs w:val="18"/>
            </w:rPr>
            <m:t>P</m:t>
          </m:r>
          <m:d>
            <m:dPr>
              <m:ctrlPr>
                <w:rPr>
                  <w:rFonts w:ascii="Cambria Math" w:hAnsi="Cambria Math" w:cs="Times New Roman"/>
                  <w:i/>
                  <w:sz w:val="18"/>
                  <w:szCs w:val="18"/>
                </w:rPr>
              </m:ctrlPr>
            </m:dPr>
            <m:e>
              <m:sSup>
                <m:sSupPr>
                  <m:ctrlPr>
                    <w:rPr>
                      <w:rFonts w:ascii="Cambria Math" w:hAnsi="Cambria Math"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j</m:t>
                  </m:r>
                </m:sup>
              </m:sSup>
            </m:e>
            <m:e>
              <m:sSub>
                <m:sSubPr>
                  <m:ctrlPr>
                    <w:rPr>
                      <w:rFonts w:ascii="Cambria Math" w:hAnsi="Cambria Math" w:cs="Times New Roman"/>
                      <w:i/>
                      <w:sz w:val="18"/>
                      <w:szCs w:val="18"/>
                    </w:rPr>
                  </m:ctrlPr>
                </m:sSubPr>
                <m:e>
                  <m:r>
                    <w:rPr>
                      <w:rFonts w:ascii="Cambria Math" w:hAnsi="Cambria Math" w:cs="Times New Roman"/>
                      <w:sz w:val="18"/>
                      <w:szCs w:val="18"/>
                    </w:rPr>
                    <m:t>D</m:t>
                  </m:r>
                </m:e>
                <m:sub>
                  <m:r>
                    <w:rPr>
                      <w:rFonts w:ascii="Cambria Math" w:hAnsi="Cambria Math" w:cs="Times New Roman"/>
                      <w:sz w:val="18"/>
                      <w:szCs w:val="18"/>
                    </w:rPr>
                    <m:t>0</m:t>
                  </m:r>
                </m:sub>
              </m:sSub>
            </m:e>
          </m:d>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 ρ</m:t>
              </m:r>
              <m:d>
                <m:dPr>
                  <m:ctrlPr>
                    <w:rPr>
                      <w:rFonts w:ascii="Cambria Math" w:hAnsi="Cambria Math" w:cs="Times New Roman"/>
                      <w:i/>
                      <w:sz w:val="18"/>
                      <w:szCs w:val="18"/>
                    </w:rPr>
                  </m:ctrlPr>
                </m:dPr>
                <m:e>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n</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μ</m:t>
                      </m:r>
                    </m:e>
                    <m:sub>
                      <m:r>
                        <w:rPr>
                          <w:rFonts w:ascii="Cambria Math" w:hAnsi="Cambria Math" w:cs="Times New Roman"/>
                          <w:sz w:val="18"/>
                          <w:szCs w:val="18"/>
                        </w:rPr>
                        <m:t>0</m:t>
                      </m:r>
                    </m:sub>
                  </m:sSub>
                </m:e>
              </m:d>
              <m:r>
                <w:rPr>
                  <w:rFonts w:ascii="Cambria Math" w:hAnsi="Cambria Math" w:cs="Times New Roman"/>
                  <w:sz w:val="18"/>
                  <w:szCs w:val="18"/>
                </w:rPr>
                <m:t>≥</m:t>
              </m:r>
              <m:sSup>
                <m:sSupPr>
                  <m:ctrlPr>
                    <w:rPr>
                      <w:rFonts w:ascii="Cambria Math" w:hAnsi="Cambria Math" w:cs="Times New Roman"/>
                      <w:i/>
                      <w:sz w:val="18"/>
                      <w:szCs w:val="18"/>
                    </w:rPr>
                  </m:ctrlPr>
                </m:sSupPr>
                <m:e>
                  <m:r>
                    <w:rPr>
                      <w:rFonts w:ascii="Cambria Math" w:hAnsi="Cambria Math" w:cs="Times New Roman"/>
                      <w:sz w:val="18"/>
                      <w:szCs w:val="18"/>
                    </w:rPr>
                    <m:t>ϵ</m:t>
                  </m:r>
                </m:e>
                <m:sup>
                  <m:r>
                    <w:rPr>
                      <w:rFonts w:ascii="Cambria Math" w:hAnsi="Cambria Math" w:cs="Times New Roman"/>
                      <w:sz w:val="18"/>
                      <w:szCs w:val="18"/>
                    </w:rPr>
                    <m:t>*</m:t>
                  </m:r>
                </m:sup>
              </m:sSup>
            </m:num>
            <m:den>
              <m:r>
                <w:rPr>
                  <w:rFonts w:ascii="Cambria Math" w:hAnsi="Cambria Math" w:cs="Times New Roman"/>
                  <w:sz w:val="18"/>
                  <w:szCs w:val="18"/>
                </w:rPr>
                <m:t>N</m:t>
              </m:r>
            </m:den>
          </m:f>
        </m:oMath>
      </m:oMathPara>
    </w:p>
    <w:p w14:paraId="674389A4" w14:textId="5735B805" w:rsidR="00082C39" w:rsidRPr="002112BD" w:rsidRDefault="00082C39" w:rsidP="00082C39">
      <w:pPr>
        <w:pStyle w:val="Caption"/>
        <w:spacing w:line="360" w:lineRule="auto"/>
        <w:ind w:left="360"/>
        <w:jc w:val="right"/>
        <w:rPr>
          <w:rFonts w:cs="Times New Roman"/>
          <w:b w:val="0"/>
          <w:bCs w:val="0"/>
          <w:color w:val="auto"/>
          <w:szCs w:val="18"/>
        </w:rPr>
      </w:pPr>
      <w:r w:rsidRPr="002112BD">
        <w:rPr>
          <w:b w:val="0"/>
          <w:bCs w:val="0"/>
          <w:i/>
          <w:iCs/>
          <w:color w:val="auto"/>
        </w:rPr>
        <w:t>Equation (</w:t>
      </w:r>
      <w:r>
        <w:rPr>
          <w:b w:val="0"/>
          <w:bCs w:val="0"/>
          <w:i/>
          <w:iCs/>
          <w:color w:val="auto"/>
        </w:rPr>
        <w:t>S</w:t>
      </w:r>
      <w:r w:rsidR="00D81512">
        <w:rPr>
          <w:b w:val="0"/>
          <w:bCs w:val="0"/>
          <w:i/>
          <w:iCs/>
          <w:color w:val="auto"/>
        </w:rPr>
        <w:t>3</w:t>
      </w:r>
      <w:r>
        <w:rPr>
          <w:b w:val="0"/>
          <w:bCs w:val="0"/>
          <w:i/>
          <w:iCs/>
          <w:color w:val="auto"/>
        </w:rPr>
        <w:t>.1</w:t>
      </w:r>
      <w:r w:rsidRPr="002112BD">
        <w:rPr>
          <w:b w:val="0"/>
          <w:bCs w:val="0"/>
          <w:i/>
          <w:iCs/>
          <w:color w:val="auto"/>
        </w:rPr>
        <w:t>)</w:t>
      </w:r>
    </w:p>
    <w:p w14:paraId="232E175B" w14:textId="132622D0" w:rsidR="00A4285F" w:rsidRDefault="00082C39">
      <w:pPr>
        <w:rPr>
          <w:sz w:val="18"/>
          <w:szCs w:val="18"/>
        </w:rPr>
      </w:pPr>
      <w:r w:rsidRPr="00361D9E">
        <w:rPr>
          <w:rFonts w:cs="Times New Roman"/>
          <w:sz w:val="18"/>
          <w:szCs w:val="18"/>
        </w:rPr>
        <w:t xml:space="preserve">where </w:t>
      </w:r>
      <m:oMath>
        <m:sSup>
          <m:sSupPr>
            <m:ctrlPr>
              <w:rPr>
                <w:rFonts w:ascii="Cambria Math" w:hAnsi="Cambria Math" w:cs="Times New Roman"/>
                <w:i/>
                <w:sz w:val="18"/>
                <w:szCs w:val="18"/>
              </w:rPr>
            </m:ctrlPr>
          </m:sSupPr>
          <m:e>
            <m:r>
              <w:rPr>
                <w:rFonts w:ascii="Cambria Math" w:hAnsi="Cambria Math" w:cs="Times New Roman"/>
                <w:sz w:val="18"/>
                <w:szCs w:val="18"/>
              </w:rPr>
              <m:t>ϵ</m:t>
            </m:r>
          </m:e>
          <m:sup>
            <m:r>
              <w:rPr>
                <w:rFonts w:ascii="Cambria Math" w:hAnsi="Cambria Math" w:cs="Times New Roman"/>
                <w:sz w:val="18"/>
                <w:szCs w:val="18"/>
              </w:rPr>
              <m:t>*</m:t>
            </m:r>
          </m:sup>
        </m:sSup>
      </m:oMath>
      <w:r w:rsidRPr="00361D9E">
        <w:rPr>
          <w:rFonts w:cs="Times New Roman"/>
          <w:sz w:val="18"/>
          <w:szCs w:val="18"/>
        </w:rPr>
        <w:t xml:space="preserve"> is a threshold on the model error </w:t>
      </w:r>
      <m:oMath>
        <m:r>
          <w:rPr>
            <w:rFonts w:ascii="Cambria Math" w:hAnsi="Cambria Math" w:cs="Times New Roman"/>
            <w:sz w:val="18"/>
            <w:szCs w:val="18"/>
          </w:rPr>
          <m:t>ρ</m:t>
        </m:r>
      </m:oMath>
      <w:r w:rsidRPr="00361D9E">
        <w:rPr>
          <w:rFonts w:cs="Times New Roman"/>
          <w:sz w:val="18"/>
          <w:szCs w:val="18"/>
        </w:rPr>
        <w:t xml:space="preserve"> that is suitably small to give an acceptable fit on the data. If </w:t>
      </w:r>
      <m:oMath>
        <m:sSup>
          <m:sSupPr>
            <m:ctrlPr>
              <w:rPr>
                <w:rFonts w:ascii="Cambria Math" w:hAnsi="Cambria Math" w:cs="Times New Roman"/>
                <w:i/>
                <w:sz w:val="18"/>
                <w:szCs w:val="18"/>
              </w:rPr>
            </m:ctrlPr>
          </m:sSupPr>
          <m:e>
            <m:r>
              <w:rPr>
                <w:rFonts w:ascii="Cambria Math" w:hAnsi="Cambria Math" w:cs="Times New Roman"/>
                <w:sz w:val="18"/>
                <w:szCs w:val="18"/>
              </w:rPr>
              <m:t>ϵ</m:t>
            </m:r>
          </m:e>
          <m:sup>
            <m:r>
              <w:rPr>
                <w:rFonts w:ascii="Cambria Math" w:hAnsi="Cambria Math" w:cs="Times New Roman"/>
                <w:sz w:val="18"/>
                <w:szCs w:val="18"/>
              </w:rPr>
              <m:t>*</m:t>
            </m:r>
          </m:sup>
        </m:sSup>
      </m:oMath>
      <w:r w:rsidRPr="00361D9E">
        <w:rPr>
          <w:rFonts w:cs="Times New Roman"/>
          <w:sz w:val="18"/>
          <w:szCs w:val="18"/>
        </w:rPr>
        <w:t xml:space="preserve">is held constant and the data is identical between models, then the exceedance probabilities may be compared to yield the model that gives the most accurate fit. In practice we set </w:t>
      </w:r>
      <m:oMath>
        <m:sSup>
          <m:sSupPr>
            <m:ctrlPr>
              <w:rPr>
                <w:rFonts w:ascii="Cambria Math" w:hAnsi="Cambria Math" w:cs="Times New Roman"/>
                <w:i/>
                <w:sz w:val="18"/>
                <w:szCs w:val="18"/>
              </w:rPr>
            </m:ctrlPr>
          </m:sSupPr>
          <m:e>
            <m:r>
              <w:rPr>
                <w:rFonts w:ascii="Cambria Math" w:hAnsi="Cambria Math" w:cs="Times New Roman"/>
                <w:sz w:val="18"/>
                <w:szCs w:val="18"/>
              </w:rPr>
              <m:t>ϵ</m:t>
            </m:r>
          </m:e>
          <m:sup>
            <m:r>
              <w:rPr>
                <w:rFonts w:ascii="Cambria Math" w:hAnsi="Cambria Math" w:cs="Times New Roman"/>
                <w:sz w:val="18"/>
                <w:szCs w:val="18"/>
              </w:rPr>
              <m:t>*</m:t>
            </m:r>
          </m:sup>
        </m:sSup>
      </m:oMath>
      <w:r w:rsidRPr="00361D9E">
        <w:rPr>
          <w:rFonts w:cs="Times New Roman"/>
          <w:sz w:val="18"/>
          <w:szCs w:val="18"/>
        </w:rPr>
        <w:t xml:space="preserve"> to be the median error of all sets of models.</w:t>
      </w:r>
      <w:r w:rsidRPr="00361D9E">
        <w:rPr>
          <w:sz w:val="18"/>
          <w:szCs w:val="18"/>
        </w:rPr>
        <w:t xml:space="preserve"> We found that a model incorporating both the hyperdirect and </w:t>
      </w:r>
      <w:proofErr w:type="spellStart"/>
      <w:r w:rsidRPr="00361D9E">
        <w:rPr>
          <w:sz w:val="18"/>
          <w:szCs w:val="18"/>
        </w:rPr>
        <w:t>subthalamo</w:t>
      </w:r>
      <w:proofErr w:type="spellEnd"/>
      <w:r w:rsidRPr="00361D9E">
        <w:rPr>
          <w:sz w:val="18"/>
          <w:szCs w:val="18"/>
        </w:rPr>
        <w:t xml:space="preserve">-pallidal pathways was the best candidate in describing the patterns of neuronal activity in recordings made in Parkinsonian rats. This posterior model fit is used for the simulations in this paper which we refer to as the </w:t>
      </w:r>
      <w:r w:rsidRPr="00361D9E">
        <w:rPr>
          <w:i/>
          <w:iCs/>
          <w:sz w:val="18"/>
          <w:szCs w:val="18"/>
        </w:rPr>
        <w:t>fitted</w:t>
      </w:r>
      <w:r w:rsidRPr="00361D9E">
        <w:rPr>
          <w:sz w:val="18"/>
          <w:szCs w:val="18"/>
        </w:rPr>
        <w:t xml:space="preserve"> model and its structure is presented in figure 1. Specifically, we use the maximum a posteriori (MAP) estimate (the mode of the marginal posterior distribution over parameters) to specify the fitted parameters that we use as a baseline in the simulations presented in this paper</w:t>
      </w:r>
      <w:r>
        <w:rPr>
          <w:sz w:val="18"/>
          <w:szCs w:val="18"/>
        </w:rPr>
        <w:t>.</w:t>
      </w:r>
    </w:p>
    <w:p w14:paraId="69654F39" w14:textId="0AD14B9E" w:rsidR="00040EDE" w:rsidRDefault="00040EDE" w:rsidP="00040EDE">
      <w:pPr>
        <w:pStyle w:val="Heading2"/>
      </w:pPr>
      <w:r>
        <w:t>Supporting References</w:t>
      </w:r>
    </w:p>
    <w:p w14:paraId="0D1A04E9" w14:textId="6F85748B" w:rsidR="00040EDE" w:rsidRPr="00040EDE" w:rsidRDefault="00040EDE" w:rsidP="00040EDE">
      <w:pPr>
        <w:widowControl w:val="0"/>
        <w:autoSpaceDE w:val="0"/>
        <w:autoSpaceDN w:val="0"/>
        <w:adjustRightInd w:val="0"/>
        <w:ind w:left="640" w:hanging="640"/>
        <w:rPr>
          <w:rFonts w:cs="Times New Roman"/>
          <w:noProof/>
          <w:sz w:val="18"/>
          <w:szCs w:val="20"/>
        </w:rPr>
      </w:pPr>
      <w:r w:rsidRPr="00040EDE">
        <w:rPr>
          <w:sz w:val="18"/>
          <w:szCs w:val="18"/>
        </w:rPr>
        <w:fldChar w:fldCharType="begin" w:fldLock="1"/>
      </w:r>
      <w:r w:rsidRPr="00040EDE">
        <w:rPr>
          <w:sz w:val="18"/>
          <w:szCs w:val="18"/>
        </w:rPr>
        <w:instrText xml:space="preserve">ADDIN Mendeley Bibliography CSL_BIBLIOGRAPHY </w:instrText>
      </w:r>
      <w:r w:rsidRPr="00040EDE">
        <w:rPr>
          <w:sz w:val="18"/>
          <w:szCs w:val="18"/>
        </w:rPr>
        <w:fldChar w:fldCharType="separate"/>
      </w:r>
      <w:r w:rsidRPr="00040EDE">
        <w:rPr>
          <w:rFonts w:cs="Times New Roman"/>
          <w:noProof/>
          <w:sz w:val="18"/>
          <w:szCs w:val="20"/>
        </w:rPr>
        <w:t xml:space="preserve">1. </w:t>
      </w:r>
      <w:r w:rsidRPr="00040EDE">
        <w:rPr>
          <w:rFonts w:cs="Times New Roman"/>
          <w:noProof/>
          <w:sz w:val="18"/>
          <w:szCs w:val="20"/>
        </w:rPr>
        <w:tab/>
        <w:t>Toni T, Welch D, Strelkowa N, Ipsen A, Stumpf MP. Approximate Bayesian computation scheme for parameter inference and model selection in dynamical systems. J R Soc Interface. 2009;6: 187–202. doi:10.1098/rsif.2008.0172</w:t>
      </w:r>
    </w:p>
    <w:p w14:paraId="3A3B04A2" w14:textId="77777777" w:rsidR="00040EDE" w:rsidRPr="00040EDE" w:rsidRDefault="00040EDE" w:rsidP="00040EDE">
      <w:pPr>
        <w:widowControl w:val="0"/>
        <w:autoSpaceDE w:val="0"/>
        <w:autoSpaceDN w:val="0"/>
        <w:adjustRightInd w:val="0"/>
        <w:ind w:left="640" w:hanging="640"/>
        <w:rPr>
          <w:rFonts w:cs="Times New Roman"/>
          <w:noProof/>
          <w:sz w:val="18"/>
          <w:szCs w:val="18"/>
        </w:rPr>
      </w:pPr>
      <w:r w:rsidRPr="00040EDE">
        <w:rPr>
          <w:rFonts w:cs="Times New Roman"/>
          <w:noProof/>
          <w:sz w:val="18"/>
          <w:szCs w:val="20"/>
        </w:rPr>
        <w:t xml:space="preserve">2. </w:t>
      </w:r>
      <w:r w:rsidRPr="00040EDE">
        <w:rPr>
          <w:rFonts w:cs="Times New Roman"/>
          <w:noProof/>
          <w:sz w:val="18"/>
          <w:szCs w:val="20"/>
        </w:rPr>
        <w:tab/>
        <w:t>Toni T, Stumpf MPH. Simulation-based model selection for dynamical systems in systems and population biology. Bioinformatics. 2009;26: 104–110. doi:10.1093/bioinformatics/btp619</w:t>
      </w:r>
    </w:p>
    <w:p w14:paraId="54E52B38" w14:textId="413535E5" w:rsidR="00040EDE" w:rsidRPr="00040EDE" w:rsidRDefault="00040EDE" w:rsidP="00040EDE">
      <w:r w:rsidRPr="00040EDE">
        <w:rPr>
          <w:sz w:val="18"/>
          <w:szCs w:val="18"/>
        </w:rPr>
        <w:fldChar w:fldCharType="end"/>
      </w:r>
    </w:p>
    <w:sectPr w:rsidR="00040EDE" w:rsidRPr="0004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326EA"/>
    <w:multiLevelType w:val="hybridMultilevel"/>
    <w:tmpl w:val="DCCE507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39"/>
    <w:rsid w:val="00040EDE"/>
    <w:rsid w:val="00045A2C"/>
    <w:rsid w:val="00082C39"/>
    <w:rsid w:val="00A4285F"/>
    <w:rsid w:val="00BB6455"/>
    <w:rsid w:val="00D8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DD64"/>
  <w15:chartTrackingRefBased/>
  <w15:docId w15:val="{711DE2F1-1594-474D-BC90-8350368D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39"/>
    <w:pPr>
      <w:spacing w:line="360" w:lineRule="auto"/>
      <w:jc w:val="both"/>
    </w:pPr>
    <w:rPr>
      <w:rFonts w:ascii="Times New Roman" w:eastAsiaTheme="minorEastAsia" w:hAnsi="Times New Roman"/>
    </w:rPr>
  </w:style>
  <w:style w:type="paragraph" w:styleId="Heading2">
    <w:name w:val="heading 2"/>
    <w:basedOn w:val="Normal"/>
    <w:next w:val="Normal"/>
    <w:link w:val="Heading2Char"/>
    <w:uiPriority w:val="9"/>
    <w:unhideWhenUsed/>
    <w:qFormat/>
    <w:rsid w:val="00082C39"/>
    <w:pPr>
      <w:keepNext/>
      <w:keepLines/>
      <w:spacing w:before="40" w:after="0"/>
      <w:jc w:val="left"/>
      <w:outlineLvl w:val="1"/>
    </w:pPr>
    <w:rPr>
      <w:rFonts w:eastAsiaTheme="majorEastAsia"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C39"/>
    <w:rPr>
      <w:rFonts w:ascii="Times New Roman" w:eastAsiaTheme="majorEastAsia" w:hAnsi="Times New Roman" w:cstheme="majorBidi"/>
      <w:color w:val="2F5496" w:themeColor="accent1" w:themeShade="BF"/>
      <w:sz w:val="24"/>
      <w:szCs w:val="32"/>
    </w:rPr>
  </w:style>
  <w:style w:type="paragraph" w:styleId="ListParagraph">
    <w:name w:val="List Paragraph"/>
    <w:basedOn w:val="Normal"/>
    <w:uiPriority w:val="34"/>
    <w:qFormat/>
    <w:rsid w:val="00082C39"/>
    <w:pPr>
      <w:ind w:left="720"/>
      <w:contextualSpacing/>
    </w:pPr>
  </w:style>
  <w:style w:type="paragraph" w:styleId="Caption">
    <w:name w:val="caption"/>
    <w:basedOn w:val="Normal"/>
    <w:next w:val="Normal"/>
    <w:uiPriority w:val="35"/>
    <w:unhideWhenUsed/>
    <w:qFormat/>
    <w:rsid w:val="00082C39"/>
    <w:pPr>
      <w:spacing w:line="240" w:lineRule="auto"/>
    </w:pPr>
    <w:rPr>
      <w:b/>
      <w:bCs/>
      <w:color w:val="44546A"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West</dc:creator>
  <cp:keywords/>
  <dc:description/>
  <cp:lastModifiedBy>Timothy West</cp:lastModifiedBy>
  <cp:revision>3</cp:revision>
  <dcterms:created xsi:type="dcterms:W3CDTF">2022-02-02T13:23:00Z</dcterms:created>
  <dcterms:modified xsi:type="dcterms:W3CDTF">2022-02-11T11:34:00Z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cf24c41e-d2be-3b82-a981-da3dc3a3676d</vt:lpwstr>
  </property>
  <property fmtid="{D5CDD505-2E9C-101B-9397-08002B2CF9AE}" pid="4" name="Mendeley Citation Style_1">
    <vt:lpwstr>http://www.zotero.org/styles/plos-computational-biology</vt:lpwstr>
  </property>
</Properties>
</file>