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9F7" w:rsidRPr="00B349F7" w:rsidRDefault="006C3A46" w:rsidP="00CA473D">
      <w:pPr>
        <w:keepNext/>
        <w:spacing w:after="200" w:line="240" w:lineRule="auto"/>
        <w:ind w:left="-709" w:right="-709"/>
        <w:jc w:val="both"/>
        <w:rPr>
          <w:rFonts w:ascii="Calibri" w:eastAsia="Calibri" w:hAnsi="Calibri" w:cs="Times New Roman"/>
          <w:b/>
          <w:bCs/>
          <w:sz w:val="18"/>
          <w:szCs w:val="18"/>
          <w:lang w:val="en-US"/>
        </w:rPr>
      </w:pPr>
      <w:bookmarkStart w:id="0" w:name="_Hlk72509812"/>
      <w:r>
        <w:rPr>
          <w:rFonts w:ascii="Calibri" w:eastAsia="Calibri" w:hAnsi="Calibri" w:cs="Times New Roman"/>
          <w:b/>
          <w:bCs/>
          <w:sz w:val="18"/>
          <w:szCs w:val="18"/>
          <w:lang w:val="en-US"/>
        </w:rPr>
        <w:t>S1 Table</w:t>
      </w:r>
      <w:r w:rsidR="00B349F7" w:rsidRPr="00B349F7">
        <w:rPr>
          <w:rFonts w:ascii="Calibri" w:eastAsia="Calibri" w:hAnsi="Calibri" w:cs="Times New Roman"/>
          <w:b/>
          <w:bCs/>
          <w:sz w:val="18"/>
          <w:szCs w:val="18"/>
          <w:lang w:val="en-US"/>
        </w:rPr>
        <w:t xml:space="preserve">. Parameters of hidden Markov models used in the A549 whole-cell current model. </w:t>
      </w:r>
      <w:r w:rsidR="00B349F7" w:rsidRPr="00B349F7">
        <w:rPr>
          <w:rFonts w:ascii="Calibri" w:eastAsia="Calibri" w:hAnsi="Calibri" w:cs="Times New Roman"/>
          <w:bCs/>
          <w:sz w:val="18"/>
          <w:szCs w:val="18"/>
          <w:lang w:val="en-US"/>
        </w:rPr>
        <w:t xml:space="preserve">Rate constants for transitions between the states of all hidden Markov models. For calcium dependent transitions the calculated steady state calcium concentration </w:t>
      </w:r>
      <w:proofErr w:type="spellStart"/>
      <w:r w:rsidR="00B349F7" w:rsidRPr="00B349F7">
        <w:rPr>
          <w:rFonts w:ascii="Calibri" w:eastAsia="Calibri" w:hAnsi="Calibri" w:cs="Times New Roman"/>
          <w:bCs/>
          <w:i/>
          <w:sz w:val="18"/>
          <w:szCs w:val="18"/>
          <w:lang w:val="en-US"/>
        </w:rPr>
        <w:t>Ca_i</w:t>
      </w:r>
      <w:proofErr w:type="spellEnd"/>
      <w:r w:rsidR="00B349F7" w:rsidRPr="00B349F7">
        <w:rPr>
          <w:rFonts w:ascii="Calibri" w:eastAsia="Calibri" w:hAnsi="Calibri" w:cs="Times New Roman"/>
          <w:bCs/>
          <w:sz w:val="18"/>
          <w:szCs w:val="18"/>
          <w:lang w:val="en-US"/>
        </w:rPr>
        <w:t xml:space="preserve"> = 4.68 µM is used.</w:t>
      </w:r>
    </w:p>
    <w:tbl>
      <w:tblPr>
        <w:tblStyle w:val="Tabellenraster"/>
        <w:tblW w:w="11312" w:type="dxa"/>
        <w:tblInd w:w="-998" w:type="dxa"/>
        <w:tblLayout w:type="fixed"/>
        <w:tblLook w:val="04A0" w:firstRow="1" w:lastRow="0" w:firstColumn="1" w:lastColumn="0" w:noHBand="0" w:noVBand="1"/>
      </w:tblPr>
      <w:tblGrid>
        <w:gridCol w:w="2694"/>
        <w:gridCol w:w="2806"/>
        <w:gridCol w:w="2977"/>
        <w:gridCol w:w="2835"/>
      </w:tblGrid>
      <w:tr w:rsidR="00B349F7" w:rsidRPr="00B349F7" w:rsidTr="00B349F7">
        <w:trPr>
          <w:trHeight w:val="348"/>
        </w:trPr>
        <w:tc>
          <w:tcPr>
            <w:tcW w:w="5500" w:type="dxa"/>
            <w:gridSpan w:val="2"/>
            <w:vAlign w:val="center"/>
          </w:tcPr>
          <w:bookmarkEnd w:id="0"/>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Kv1.3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jehDunxw","properties":{"formattedCitation":"[1]","plainCitation":"[1]","noteIndex":0},"citationItems":[{"id":119,"uris":["http://zotero.org/users/5488849/items/8YWHWJLR"],"uri":["http://zotero.org/users/5488849/items/8YWHWJLR"],"itemData":{"id":119,"type":"article-journal","abstract":"Kv1.3 channel is a delayed rectifier channel abundant in human T lymphocytes. Chronic inflammatory and autoimmune disorders lead to the over-expression of Kv1.3 in T cells. To quantitatively study the regulatory mechanism and physiological function of Kv1.3 in T cells, it is necessary to have a precise kinetic model of Kv1.3. In this study, we firstly established a kinetic model capable to precisely replicate all the kinetic features for Kv1.3 channels, and then constructed a T-cell model composed of ion channels including Ca2+-release activated calcium (CRAC) channel, intermediate K+ (IK) channel, TASK channel and Kv1.3 channel for quantitatively simulating the changes in membrane potentials and local Ca2+ signaling messengers during activation of T cells. Based on the experimental data from current-clamp recordings, we successfully demonstrated that Kv1.3 dominated the membrane potential of T cells to manipulate the Ca2+ influx via CRAC channel. Our results revealed that the deficient expression of Kv1.3 channel would cause the less Ca2+ signal, leading to the less efficiency in secretion. This was the first successful attempt to simulate membrane potential in non-excitable cells, which laid a solid basis for quantitatively studying the regulatory mechanism and physiological role of channels in non-excitable cells.","container-title":"PloS One","DOI":"10.1371/journal.pone.0089975","ISSN":"1932-6203","issue":"3","journalAbbreviation":"PLoS ONE","language":"eng","note":"PMID: 24594979\nPMCID: PMC3940720","page":"e89975","source":"PubMed","title":"Physiological role of Kv1.3 channel in T lymphocyte cell investigated quantitatively by kinetic modeling","volume":"9","author":[{"family":"Hou","given":"Panpan"},{"family":"Zhang","given":"Rong"},{"family":"Liu","given":"Yongfeng"},{"family":"Feng","given":"Jing"},{"family":"Wang","given":"Wei"},{"family":"Wu","given":"Yingliang"},{"family":"Ding","given":"Jiuping"}],"issued":{"date-parts":[["2014"]]}}}],"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[1]</w:t>
            </w:r>
            <w:r w:rsidRPr="00B349F7">
              <w:rPr>
                <w:rFonts w:ascii="Calibri" w:eastAsia="Calibri" w:hAnsi="Calibri" w:cs="Times New Roman"/>
                <w:b/>
                <w:sz w:val="19"/>
                <w:szCs w:val="19"/>
              </w:rPr>
              <w:fldChar w:fldCharType="end"/>
            </w:r>
          </w:p>
        </w:tc>
        <w:tc>
          <w:tcPr>
            <w:tcW w:w="5812" w:type="dxa"/>
            <w:gridSpan w:val="2"/>
            <w:vAlign w:val="center"/>
          </w:tcPr>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TASK-1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yVMtmFko","properties":{"formattedCitation":"[2]","plainCitation":"[2]","noteIndex":0},"citationItems":[{"id":128,"uris":["http://zotero.org/users/5488849/items/Z2XVVX44"],"uri":["http://zotero.org/users/5488849/items/Z2XVVX44"],"itemData":{"id":128,"type":"article-journal","abstract":"BACKGROUND/AIMS: Atrial fibrillation is the most common arrhythmia in the elderly, and potassium channels with atrium-specific expression have been discussed as targets to treat atrial fibrillation. Our aim was to characterize TASK-1 channels in human heart and to functionally describe the role of the atrial whole cell current I(TASK-1).\nMETHODS AND RESULTS: Using quantitative PCR, we show that TASK-1 is predominantly expressed in the atria, auricles and atrio-ventricular node of the human heart. Single channel recordings show the functional expression of TASK-1 in right human auricles. In addition, we describe for the first time the whole cell current carried by TASK-1 channels (I(TASK-1)) in human atrial tissue. We show that I(TASK-1) contributes to the sustained outward current I(Ksus) and that I(TASK-1) is a major component of the background conductance in human atrial cardiomyocytes. Using patch clamp recordings and mathematical modeling of action potentials, we demonstrate that modulation of I(TASK-1) can alter human atrial action potential duration.\nCONCLUSION: Due to the lack of ventricular expression and the ability to alter human atrial action potential duration, TASK-1 might be a drug target for the treatment of atrial fibrillation.","container-title":"Cellular Physiology and Biochemistry: International Journal of Experimental Cellular Physiology, Biochemistry, and Pharmacology","DOI":"10.1159/000335757","ISSN":"1421-9778","issue":"4","journalAbbreviation":"Cell. Physiol. Biochem.","language":"eng","note":"PMID: 22178873\nPMCID: PMC3709183","page":"613-624","source":"PubMed","title":"TASK-1 channels may modulate action potential duration of human atrial cardiomyocytes","volume":"28","author":[{"family":"Limberg","given":"Sven H."},{"family":"Netter","given":"Michael F."},{"family":"Rolfes","given":"Caroline"},{"family":"Rinné","given":"Susanne"},{"family":"Schlichthörl","given":"Günter"},{"family":"Zuzarte","given":"Marylou"},{"family":"Vassiliou","given":"Timon"},{"family":"Moosdorf","given":"Rainer"},{"family":"Wulf","given":"Hinnerk"},{"family":"Daut","given":"Jürgen"},{"family":"Sachse","given":"Frank B."},{"family":"Decher","given":"Niels"}],"issued":{"date-parts":[["2011"]]}}}],"schema":"https://github.com/citation-style-language/schema/raw/master/csl-citation.json"}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[2]</w:t>
            </w:r>
            <w:r w:rsidRPr="00B349F7">
              <w:rPr>
                <w:rFonts w:ascii="Calibri" w:eastAsia="Calibri" w:hAnsi="Calibri" w:cs="Times New Roman"/>
                <w:b/>
                <w:sz w:val="19"/>
                <w:szCs w:val="19"/>
              </w:rPr>
              <w:fldChar w:fldCharType="end"/>
            </w:r>
          </w:p>
        </w:tc>
      </w:tr>
      <w:tr w:rsidR="00B349F7" w:rsidRPr="00BC696D" w:rsidTr="00B349F7">
        <w:trPr>
          <w:trHeight w:val="483"/>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α=0.448</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27.530</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β=0.43</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17.528</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α=0.0133</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(-0.106</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β=0.0176</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(0.105</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C696D" w:rsidTr="00B349F7">
        <w:trPr>
          <w:trHeight w:val="469"/>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a=280.035</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 xml:space="preserve">b=1.648 </m:t>
              </m:r>
            </m:oMath>
            <w:r w:rsidRPr="00B349F7">
              <w:rPr>
                <w:rFonts w:ascii="Calibri" w:eastAsia="Times New Roman" w:hAnsi="Calibri" w:cs="Times New Roman"/>
                <w:sz w:val="19"/>
                <w:szCs w:val="19"/>
              </w:rPr>
              <w:t>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a=0.108</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(-0.095</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b=0.0097</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(0.307</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349F7" w:rsidTr="00B349F7">
        <w:trPr>
          <w:trHeight w:val="394"/>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η=0.003</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174.961</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λ=0.00008</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1016.33</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5812" w:type="dxa"/>
            <w:gridSpan w:val="2"/>
            <w:vAlign w:val="center"/>
          </w:tcPr>
          <w:p w:rsidR="00B349F7" w:rsidRPr="00B349F7" w:rsidRDefault="00B349F7" w:rsidP="00B349F7">
            <w:pPr>
              <w:rPr>
                <w:rFonts w:ascii="Calibri" w:eastAsia="Calibri" w:hAnsi="Calibri" w:cs="Times New Roman"/>
                <w:sz w:val="19"/>
                <w:szCs w:val="19"/>
              </w:rPr>
            </w:pPr>
            <w:r w:rsidRPr="00B349F7">
              <w:rPr>
                <w:rFonts w:ascii="Calibri" w:eastAsia="Calibri" w:hAnsi="Calibri" w:cs="Times New Roman"/>
                <w:b/>
                <w:sz w:val="19"/>
                <w:szCs w:val="19"/>
              </w:rPr>
              <w:t xml:space="preserve">KCa1.1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IIJXyJ48","properties":{"formattedCitation":"[3]","plainCitation":"[3]","noteIndex":0},"citationItems":[{"id":116,"uris":["http://zotero.org/users/5488849/items/GGBQCXF7"],"uri":["http://zotero.org/users/5488849/items/GGBQCXF7"],"itemData":{"id":116,"type":"article-journal","abstract":"Markov modeling provides an effective approach for modeling ion channel kinetics. There are several search algorithms for global fitting of macroscopic or single-channel currents across different experimental conditions. Here we present a particle swarm optimization(PSO)-based approach which, when used in combination with golden section search (GSS), can fit macroscopic voltage responses with a high degree of accuracy (errors within 1%) and reasonable amount of calculation time (less than 10 hours for 20 free parameters) on a desktop computer. We also describe a method for initial value estimation of the model parameters, which appears to favor identification of global optimum and can further reduce the computational cost. The PSO-GSS algorithm is applicable for kinetic models of arbitrary topology and size and compatible with common stimulation protocols, which provides a convenient approach for establishing kinetic models at the macroscopic level.","container-title":"PloS One","DOI":"10.1371/journal.pone.0035208","ISSN":"1932-6203","issue":"4","journalAbbreviation":"PLoS ONE","language":"eng","note":"PMID: 22536358\nPMCID: PMC3335051","page":"e35208","source":"PubMed","title":"Optimal estimation of ion-channel kinetics from macroscopic currents","volume":"7","author":[{"family":"Wang","given":"Wei"},{"family":"Xiao","given":"Feng"},{"family":"Zeng","given":"Xuhui"},{"family":"Yao","given":"Jing"},{"family":"Yuchi","given":"Ming"},{"family":"Ding","given":"Jiuping"}],"issued":{"date-parts":[["2012"]]}}}],"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[3]</w:t>
            </w:r>
            <w:r w:rsidRPr="00B349F7">
              <w:rPr>
                <w:rFonts w:ascii="Calibri" w:eastAsia="Calibri" w:hAnsi="Calibri" w:cs="Times New Roman"/>
                <w:b/>
                <w:sz w:val="19"/>
                <w:szCs w:val="19"/>
              </w:rPr>
              <w:fldChar w:fldCharType="end"/>
            </w:r>
          </w:p>
        </w:tc>
      </w:tr>
      <w:tr w:rsidR="00B349F7" w:rsidRPr="00B349F7" w:rsidTr="00B349F7">
        <w:trPr>
          <w:trHeight w:val="390"/>
        </w:trPr>
        <w:tc>
          <w:tcPr>
            <w:tcW w:w="5500" w:type="dxa"/>
            <w:gridSpan w:val="2"/>
            <w:vAlign w:val="center"/>
          </w:tcPr>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Kv3.1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RrpWI0LU","properties":{"formattedCitation":"[4]","plainCitation":"[4]","noteIndex":0},"citationItems":[{"id":125,"uris":["http://zotero.org/users/5488849/items/VI2MDQHD"],"uri":["http://zotero.org/users/5488849/items/VI2MDQHD"],"itemData":{"id":125,"type":"article-journal","abstract":"Computational modeling has emerged as an indispensable approach to resolve and predict the intricate interplay among the many ion channels underlying neuronal excitability. However, simulation results using the classic formula-based Hodgkin-Huxley (H-H) model or the superior Markov kinetic model of ion channels often deviate significantly from native cellular signals despite using carefully measured parameters. Here we found that the filters of patch-clamp amplifier not only delayed the signals, but also introduced ringing, and that the residual series resistance in experiments altered the command voltages, which had never been fully eliminated by improving the amplifier itself. To remove all the above errors, a virtual device with the parameters exactly same to that of amplifier was introduced into Markov kinetic modeling so as to establish a null-deviation model. We demonstrate that our novel null-deviation approach fully restores the native gating-kinetics of ion-channels with the data recorded at any condition, and predicts spike waveform and firing patterns clearly distinctive from those without correction.","container-title":"PloS One","DOI":"10.1371/journal.pone.0077105","ISSN":"1932-6203","issue":"10","journalAbbreviation":"PLoS ONE","language":"eng","note":"PMID: 24204745\nPMCID: PMC3808363","page":"e77105","source":"PubMed","title":"Native gating behavior of ion channels in neurons with null-deviation modeling","volume":"8","author":[{"family":"Wang","given":"Wei"},{"family":"Luo","given":"Jie"},{"family":"Hou","given":"Panpan"},{"family":"Yang","given":"Yimei"},{"family":"Xiao","given":"Feng"},{"family":"Yuchi","given":"Ming"},{"family":"Qu","given":"Anlian"},{"family":"Wang","given":"Luyang"},{"family":"Ding","given":"Jiuping"}],"issued":{"date-parts":[["2013"]]}}}],"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[4]</w:t>
            </w:r>
            <w:r w:rsidRPr="00B349F7">
              <w:rPr>
                <w:rFonts w:ascii="Calibri" w:eastAsia="Calibri" w:hAnsi="Calibri" w:cs="Times New Roman"/>
                <w:b/>
                <w:sz w:val="19"/>
                <w:szCs w:val="19"/>
              </w:rPr>
              <w:fldChar w:fldCharType="end"/>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c0=1.8225</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d</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a0=0.001</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b</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349F7" w:rsidTr="00B349F7">
        <w:trPr>
          <w:trHeight w:val="514"/>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α=0.9260</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35.8932</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β=0.1941</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279.7353</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c1=1.215</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d</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a1=0.006</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b</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349F7" w:rsidTr="00B349F7">
        <w:trPr>
          <w:trHeight w:val="515"/>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a=40.5586</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 xml:space="preserve">b=389.27 </m:t>
              </m:r>
            </m:oMath>
            <w:r w:rsidRPr="00B349F7">
              <w:rPr>
                <w:rFonts w:ascii="Calibri" w:eastAsia="Times New Roman" w:hAnsi="Calibri" w:cs="Times New Roman"/>
                <w:sz w:val="19"/>
                <w:szCs w:val="19"/>
              </w:rPr>
              <w:t>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c2=0.855</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d</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a2=0.038</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b</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349F7" w:rsidTr="00B349F7">
        <w:trPr>
          <w:trHeight w:val="450"/>
        </w:trPr>
        <w:tc>
          <w:tcPr>
            <w:tcW w:w="5500" w:type="dxa"/>
            <w:gridSpan w:val="2"/>
            <w:vAlign w:val="center"/>
          </w:tcPr>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Kv3.4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7JiAOwL3","properties":{"formattedCitation":"[5]","plainCitation":"[5]","noteIndex":0},"citationItems":[{"id":131,"uris":["http://zotero.org/users/5488849/items/CSJHMUT9"],"uri":["http://zotero.org/users/5488849/items/CSJHMUT9"],"itemData":{"id":131,"type":"article-journal","abstract":"A-type voltage-gated K(+) (Kv) channels self-regulate their activity by inactivating directly from the open state (open-state inactivation [OSI]) or by inactivating before they open (closed-state inactivation [CSI]). To determine the inactivation pathways, it is often necessary to apply several pulse protocols, pore blockers, single-channel recording, and kinetic modeling. However, intrinsic hurdles may preclude the standardized application of these methods. Here, we implemented a simple method inspired by earlier studies of Na(+) channels to analyze macroscopic inactivation and conclusively deduce the pathways of inactivation of recombinant and native A-type Kv channels. We investigated two distinct A-type Kv channels expressed heterologously (Kv3.4 and Kv4.2 with accessory subunits) and their native counterparts in dorsal root ganglion and cerebellar granule neurons. This approach applies two conventional pulse protocols to examine inactivation induced by (a) a simple step (single-pulse inactivation) and (b) a conditioning step (double-pulse inactivation). Consistent with OSI, the rate of Kv3.4 inactivation (i.e., the negative first derivative of double-pulse inactivation) precisely superimposes on the profile of the Kv3.4 current evoked by a single pulse because the channels must open to inactivate. In contrast, the rate of Kv4.2 inactivation is asynchronous, already changing at earlier times relative to the profile of the Kv4.2 current evoked by a single pulse. Thus, Kv4.2 inactivation occurs uncoupled from channel opening, indicating CSI. Furthermore, the inactivation time constant versus voltage relation of Kv3.4 decreases monotonically with depolarization and levels off, whereas that of Kv4.2 exhibits a J-shape profile. We also manipulated the inactivation phenotype by changing the subunit composition and show how CSI and CSI combined with OSI might affect spiking properties in a full computational model of the hippocampal CA1 neuron. This work unambiguously elucidates contrasting inactivation pathways in neuronal A-type Kv channels and demonstrates how distinct pathways might impact neurophysiological activity.","container-title":"The Journal of General Physiology","DOI":"10.1085/jgp.201210869","ISSN":"1540-7748","issue":"5","journalAbbreviation":"J. Gen. Physiol.","language":"eng","note":"PMID: 23109714\nPMCID: PMC3483116","page":"513-527","source":"PubMed","title":"Modeling-independent elucidation of inactivation pathways in recombinant and native A-type Kv channels","volume":"140","author":[{"family":"Fineberg","given":"Jeffrey D."},{"family":"Ritter","given":"David M."},{"family":"Covarrubias","given":"Manuel"}],"issued":{"date-parts":[["2012",11]]}}}],"schema":"https://github.com/citation-style-language/schema/raw/master/csl-citation.json"}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[5]</w:t>
            </w:r>
            <w:r w:rsidRPr="00B349F7">
              <w:rPr>
                <w:rFonts w:ascii="Calibri" w:eastAsia="Calibri" w:hAnsi="Calibri" w:cs="Times New Roman"/>
                <w:b/>
                <w:sz w:val="19"/>
                <w:szCs w:val="19"/>
              </w:rPr>
              <w:fldChar w:fldCharType="end"/>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c3=0.49</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d</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a3=0.196</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b</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349F7" w:rsidTr="00B349F7">
        <w:trPr>
          <w:trHeight w:val="458"/>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α=3.352</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0.06VF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β=3.230</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-0.80VF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c4=0.11</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d</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a4=0.396</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b</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349F7" w:rsidTr="00B349F7">
        <w:trPr>
          <w:trHeight w:val="422"/>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a=0.434</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0.52VF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b=0.070</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-0.37VF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w:r w:rsidRPr="00B349F7">
              <w:rPr>
                <w:rFonts w:ascii="Calibri" w:eastAsia="Calibri" w:hAnsi="Calibri" w:cs="Times New Roman"/>
                <w:i/>
                <w:sz w:val="19"/>
                <w:szCs w:val="19"/>
              </w:rPr>
              <w:t>d</w:t>
            </w:r>
            <w:r w:rsidRPr="00B349F7">
              <w:rPr>
                <w:rFonts w:ascii="Calibri" w:eastAsia="Calibri" w:hAnsi="Calibri" w:cs="Times New Roman"/>
                <w:sz w:val="19"/>
                <w:szCs w:val="19"/>
              </w:rPr>
              <w:t xml:space="preserve"> = 200 mV </w:t>
            </w:r>
          </w:p>
        </w:tc>
        <w:tc>
          <w:tcPr>
            <w:tcW w:w="2835" w:type="dxa"/>
            <w:vAlign w:val="center"/>
          </w:tcPr>
          <w:p w:rsidR="00B349F7" w:rsidRPr="00B349F7" w:rsidRDefault="00B349F7" w:rsidP="00B349F7">
            <w:pPr>
              <w:rPr>
                <w:rFonts w:ascii="Calibri" w:eastAsia="Calibri" w:hAnsi="Calibri" w:cs="Times New Roman"/>
                <w:sz w:val="19"/>
                <w:szCs w:val="19"/>
              </w:rPr>
            </w:pPr>
            <w:r w:rsidRPr="00B349F7">
              <w:rPr>
                <w:rFonts w:ascii="Calibri" w:eastAsia="Calibri" w:hAnsi="Calibri" w:cs="Times New Roman"/>
                <w:i/>
                <w:sz w:val="19"/>
                <w:szCs w:val="19"/>
              </w:rPr>
              <w:t>b</w:t>
            </w:r>
            <w:r w:rsidRPr="00B349F7">
              <w:rPr>
                <w:rFonts w:ascii="Calibri" w:eastAsia="Calibri" w:hAnsi="Calibri" w:cs="Times New Roman"/>
                <w:sz w:val="19"/>
                <w:szCs w:val="19"/>
              </w:rPr>
              <w:t xml:space="preserve"> = 36 mV</w:t>
            </w:r>
          </w:p>
        </w:tc>
      </w:tr>
      <w:tr w:rsidR="00B349F7" w:rsidRPr="00B349F7" w:rsidTr="00B349F7">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η=0.055</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λ=0.00080</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w:r w:rsidRPr="00B349F7">
              <w:rPr>
                <w:rFonts w:ascii="Calibri" w:eastAsia="Calibri" w:hAnsi="Calibri" w:cs="Times New Roman"/>
                <w:i/>
                <w:sz w:val="19"/>
                <w:szCs w:val="19"/>
              </w:rPr>
              <w:t>kc</w:t>
            </w:r>
            <w:r w:rsidRPr="00B349F7">
              <w:rPr>
                <w:rFonts w:ascii="Calibri" w:eastAsia="Calibri" w:hAnsi="Calibri" w:cs="Times New Roman"/>
                <w:sz w:val="19"/>
                <w:szCs w:val="19"/>
              </w:rPr>
              <w:t xml:space="preserve">= 13.5 </w:t>
            </w:r>
            <m:oMath>
              <m:r>
                <w:rPr>
                  <w:rFonts w:ascii="Cambria Math" w:eastAsia="Times New Roman" w:hAnsi="Cambria Math" w:cs="Calibri"/>
                  <w:sz w:val="20"/>
                  <w:szCs w:val="20"/>
                  <w:lang w:val="en-GB" w:eastAsia="de-AT"/>
                </w:rPr>
                <m:t xml:space="preserve">∙ </m:t>
              </m:r>
            </m:oMath>
            <w:r w:rsidRPr="00B349F7">
              <w:rPr>
                <w:rFonts w:ascii="Calibri" w:eastAsia="Calibri" w:hAnsi="Calibri" w:cs="Times New Roman"/>
                <w:i/>
                <w:sz w:val="19"/>
                <w:szCs w:val="19"/>
              </w:rPr>
              <w:t>Ca_rate</w:t>
            </w:r>
            <w:r w:rsidRPr="00B349F7">
              <w:rPr>
                <w:rFonts w:ascii="Calibri" w:eastAsia="Calibri" w:hAnsi="Calibri" w:cs="Times New Roman"/>
                <w:sz w:val="19"/>
                <w:szCs w:val="19"/>
              </w:rPr>
              <w:t xml:space="preserve"> ms</w:t>
            </w:r>
            <w:r w:rsidRPr="00B349F7">
              <w:rPr>
                <w:rFonts w:ascii="Calibri" w:eastAsia="Calibri"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w:r w:rsidRPr="00B349F7">
              <w:rPr>
                <w:rFonts w:ascii="Calibri" w:eastAsia="Calibri" w:hAnsi="Calibri" w:cs="Times New Roman"/>
                <w:i/>
                <w:sz w:val="19"/>
                <w:szCs w:val="19"/>
              </w:rPr>
              <w:t>ko</w:t>
            </w:r>
            <w:r w:rsidRPr="00B349F7">
              <w:rPr>
                <w:rFonts w:ascii="Calibri" w:eastAsia="Calibri" w:hAnsi="Calibri" w:cs="Times New Roman"/>
                <w:sz w:val="19"/>
                <w:szCs w:val="19"/>
              </w:rPr>
              <w:t xml:space="preserve"> = 1.5</w:t>
            </w:r>
            <m:oMath>
              <m:r>
                <w:rPr>
                  <w:rFonts w:ascii="Cambria Math" w:eastAsia="Calibri" w:hAnsi="Cambria Math" w:cs="Times New Roman"/>
                  <w:sz w:val="19"/>
                  <w:szCs w:val="19"/>
                </w:rPr>
                <m:t xml:space="preserve"> </m:t>
              </m:r>
              <m:r>
                <w:rPr>
                  <w:rFonts w:ascii="Cambria Math" w:eastAsia="Times New Roman" w:hAnsi="Cambria Math" w:cs="Calibri"/>
                  <w:sz w:val="20"/>
                  <w:szCs w:val="20"/>
                  <w:lang w:val="en-GB" w:eastAsia="de-AT"/>
                </w:rPr>
                <m:t xml:space="preserve">∙ </m:t>
              </m:r>
            </m:oMath>
            <w:r w:rsidRPr="00B349F7">
              <w:rPr>
                <w:rFonts w:ascii="Calibri" w:eastAsia="Calibri" w:hAnsi="Calibri" w:cs="Times New Roman"/>
                <w:i/>
                <w:sz w:val="19"/>
                <w:szCs w:val="19"/>
              </w:rPr>
              <w:t>Ca_rate</w:t>
            </w:r>
            <w:r w:rsidRPr="00B349F7">
              <w:rPr>
                <w:rFonts w:ascii="Calibri" w:eastAsia="Calibri" w:hAnsi="Calibri" w:cs="Times New Roman"/>
                <w:sz w:val="19"/>
                <w:szCs w:val="19"/>
              </w:rPr>
              <w:t xml:space="preserve"> ms</w:t>
            </w:r>
            <w:r w:rsidRPr="00B349F7">
              <w:rPr>
                <w:rFonts w:ascii="Calibri" w:eastAsia="Calibri" w:hAnsi="Calibri" w:cs="Times New Roman"/>
                <w:sz w:val="19"/>
                <w:szCs w:val="19"/>
                <w:vertAlign w:val="superscript"/>
              </w:rPr>
              <w:t>-1</w:t>
            </w:r>
          </w:p>
        </w:tc>
      </w:tr>
      <w:tr w:rsidR="00B349F7" w:rsidRPr="00B349F7" w:rsidTr="00B349F7">
        <w:trPr>
          <w:trHeight w:val="360"/>
        </w:trPr>
        <w:tc>
          <w:tcPr>
            <w:tcW w:w="5500" w:type="dxa"/>
            <w:gridSpan w:val="2"/>
            <w:vAlign w:val="center"/>
          </w:tcPr>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Kv7.1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lpz9CCqp","properties":{"formattedCitation":"[6]","plainCitation":"[6]","noteIndex":0},"citationItems":[{"id":134,"uris":["http://zotero.org/users/5488849/items/Z74SP7H8"],"uri":["http://zotero.org/users/5488849/items/Z74SP7H8"],"itemData":{"id":134,"type":"article-journal","abstract":"The voltage-gated potassium channel protein KvLQT1 (Wang et al., 1996. Nature Genet. 12:17-23) is believed to underlie the delayed rectifier potassium current of cardiac muscle together with the small membrane protein minK (also named IsK) as an essential auxiliary subunit (Barhanin et al., 1996. Nature. 384:78-80; Sanguinetti et al., 1996. Nature. 384:80-83) Using the Xenopus oocyte expression system, we analyzed in detail the gating characteristics of homomeric KvLQT1 channels and of heteromeric KvLQT1/minK channels using two-electrode voltage-clamp recordings. Activation of homomeric KvLQT1 at positive voltages is accompanied by an inactivation process that is revealed by a transient increase in conductance after membrane repolarization to negative values. We studied the recovery from inactivation and the deactivation of the channels during tail repolarizations at -120 mV after conditioning pulses of variable amplitude and duration. Most measurements were made in high extracellular potassium to increase the size of inward tail currents. However, experiments in normal low-potassium solutions showed that, in contrast to classical C-type inactivation, the inactivation of KvLQT1 is independent of extracellular potassium. At +40 mV inactivation develops with a delay of 100 ms. At the same potential, the activation estimated from the amplitude of the late exponential decay of the tail currents follows a less sigmoidal time course, with a late time constant of 300 ms. Inactivation of KvLQT1 is not complete, even at the most positive voltages. The delayed, voltage-dependent onset and the incompleteness of inactivation suggest a sequential gating scheme containing at least two open states and ending with an inactivating step that is voltage independent. In coexpression experiments of KvLQT1 with minK, inactivation seems to be largely absent, although biphasic tails are also observed that could be related to similar phenomena.","container-title":"Biophysical Journal","DOI":"10.1016/S0006-3495(98)77568-X","ISSN":"0006-3495","issue":"2","journalAbbreviation":"Biophys. J.","language":"eng","note":"PMID: 9675180\nPMCID: PMC1299753","page":"785-792","source":"PubMed","title":"Activation and inactivation of homomeric KvLQT1 potassium channels","volume":"75","author":[{"family":"Pusch","given":"M."},{"family":"Magrassi","given":"R."},{"family":"Wollnik","given":"B."},{"family":"Conti","given":"F."}],"issued":{"date-parts":[["1998",8]]}}}],"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[6]</w:t>
            </w:r>
            <w:r w:rsidRPr="00B349F7">
              <w:rPr>
                <w:rFonts w:ascii="Calibri" w:eastAsia="Calibri" w:hAnsi="Calibri" w:cs="Times New Roman"/>
                <w:b/>
                <w:sz w:val="19"/>
                <w:szCs w:val="19"/>
              </w:rPr>
              <w:fldChar w:fldCharType="end"/>
            </w:r>
          </w:p>
        </w:tc>
        <w:tc>
          <w:tcPr>
            <w:tcW w:w="2977" w:type="dxa"/>
            <w:vAlign w:val="center"/>
          </w:tcPr>
          <w:p w:rsidR="00B349F7" w:rsidRPr="00B349F7" w:rsidRDefault="00B349F7" w:rsidP="00B349F7">
            <w:pPr>
              <w:rPr>
                <w:rFonts w:ascii="Calibri" w:eastAsia="Calibri" w:hAnsi="Calibri" w:cs="Times New Roman"/>
                <w:sz w:val="19"/>
                <w:szCs w:val="19"/>
              </w:rPr>
            </w:pPr>
            <w:r w:rsidRPr="00B349F7">
              <w:rPr>
                <w:rFonts w:ascii="Calibri" w:eastAsia="Calibri" w:hAnsi="Calibri" w:cs="Times New Roman"/>
                <w:i/>
                <w:sz w:val="19"/>
                <w:szCs w:val="19"/>
              </w:rPr>
              <w:t>Ca</w:t>
            </w:r>
            <w:r w:rsidRPr="00B349F7">
              <w:rPr>
                <w:rFonts w:ascii="Calibri" w:eastAsia="Calibri" w:hAnsi="Calibri" w:cs="Times New Roman"/>
                <w:sz w:val="19"/>
                <w:szCs w:val="19"/>
              </w:rPr>
              <w:t xml:space="preserve"> = </w:t>
            </w:r>
            <w:proofErr w:type="spellStart"/>
            <w:r w:rsidRPr="00B349F7">
              <w:rPr>
                <w:rFonts w:ascii="Calibri" w:eastAsia="Calibri" w:hAnsi="Calibri" w:cs="Times New Roman"/>
                <w:i/>
                <w:sz w:val="19"/>
                <w:szCs w:val="19"/>
              </w:rPr>
              <w:t>Ca_i</w:t>
            </w:r>
            <w:proofErr w:type="spellEnd"/>
            <w:r w:rsidRPr="00B349F7">
              <w:rPr>
                <w:rFonts w:ascii="Calibri" w:eastAsia="Calibri" w:hAnsi="Calibri" w:cs="Times New Roman"/>
                <w:sz w:val="19"/>
                <w:szCs w:val="19"/>
              </w:rPr>
              <w:t xml:space="preserve"> </w:t>
            </w:r>
            <m:oMath>
              <m:r>
                <w:rPr>
                  <w:rFonts w:ascii="Cambria Math" w:eastAsia="Times New Roman" w:hAnsi="Cambria Math" w:cs="Calibri"/>
                  <w:sz w:val="20"/>
                  <w:szCs w:val="20"/>
                  <w:lang w:val="en-GB" w:eastAsia="de-AT"/>
                </w:rPr>
                <m:t xml:space="preserve">∙ </m:t>
              </m:r>
            </m:oMath>
            <w:r w:rsidRPr="00B349F7">
              <w:rPr>
                <w:rFonts w:ascii="Calibri" w:eastAsia="Calibri" w:hAnsi="Calibri" w:cs="Times New Roman"/>
                <w:i/>
                <w:sz w:val="19"/>
                <w:szCs w:val="19"/>
              </w:rPr>
              <w:t>Ca_rate</w:t>
            </w:r>
            <w:r w:rsidRPr="00B349F7">
              <w:rPr>
                <w:rFonts w:ascii="Calibri" w:eastAsia="Calibri" w:hAnsi="Calibri" w:cs="Times New Roman"/>
                <w:sz w:val="19"/>
                <w:szCs w:val="19"/>
              </w:rPr>
              <w:t xml:space="preserve"> ms</w:t>
            </w:r>
            <w:r w:rsidRPr="00B349F7">
              <w:rPr>
                <w:rFonts w:ascii="Calibri" w:eastAsia="Calibri"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w:proofErr w:type="spellStart"/>
            <w:r w:rsidRPr="00B349F7">
              <w:rPr>
                <w:rFonts w:ascii="Calibri" w:eastAsia="Calibri" w:hAnsi="Calibri" w:cs="Times New Roman"/>
                <w:i/>
                <w:sz w:val="19"/>
                <w:szCs w:val="19"/>
              </w:rPr>
              <w:t>Ca_rate</w:t>
            </w:r>
            <w:proofErr w:type="spellEnd"/>
            <w:r w:rsidRPr="00B349F7">
              <w:rPr>
                <w:rFonts w:ascii="Calibri" w:eastAsia="Calibri" w:hAnsi="Calibri" w:cs="Times New Roman"/>
                <w:sz w:val="19"/>
                <w:szCs w:val="19"/>
              </w:rPr>
              <w:t xml:space="preserve"> = 1 µM</w:t>
            </w:r>
            <w:r w:rsidRPr="00B349F7">
              <w:rPr>
                <w:rFonts w:ascii="Calibri" w:eastAsia="Calibri" w:hAnsi="Calibri" w:cs="Times New Roman"/>
                <w:sz w:val="19"/>
                <w:szCs w:val="19"/>
                <w:vertAlign w:val="superscript"/>
              </w:rPr>
              <w:t>-1</w:t>
            </w:r>
            <w:r w:rsidRPr="00B349F7">
              <w:rPr>
                <w:rFonts w:ascii="Calibri" w:eastAsia="Calibri" w:hAnsi="Calibri" w:cs="Times New Roman"/>
                <w:sz w:val="19"/>
                <w:szCs w:val="19"/>
              </w:rPr>
              <w:t>ms</w:t>
            </w:r>
            <w:r w:rsidRPr="00B349F7">
              <w:rPr>
                <w:rFonts w:ascii="Calibri" w:eastAsia="Calibri" w:hAnsi="Calibri" w:cs="Times New Roman"/>
                <w:sz w:val="19"/>
                <w:szCs w:val="19"/>
                <w:vertAlign w:val="superscript"/>
              </w:rPr>
              <w:t>-1</w:t>
            </w:r>
          </w:p>
        </w:tc>
      </w:tr>
      <w:tr w:rsidR="00B349F7" w:rsidRPr="00B349F7" w:rsidTr="00B349F7">
        <w:trPr>
          <w:trHeight w:val="484"/>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α=4.6</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(0.47</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β=33</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(-0.35</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5812" w:type="dxa"/>
            <w:gridSpan w:val="2"/>
            <w:vAlign w:val="center"/>
          </w:tcPr>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KCa3.1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2jwVNTbG","properties":{"formattedCitation":"[7]","plainCitation":"[7]","noteIndex":0},"citationItems":[{"id":122,"uris":["http://zotero.org/users/5488849/items/YWBDPI6Z"],"uri":["http://zotero.org/users/5488849/items/YWBDPI6Z"],"itemData":{"id":122,"type":"article-journal","abstract":"Intermediate conductance, calcium-activated potassium channels are gated by the binding of intracellular Ca(2+) to calmodulin, a Ca(2+)-binding protein that is constitutively associated with the C terminus of the channel. Although previous studies indicated that the pore-lining residues along the C-terminal portion of S6 contribute to the activation mechanism, little is known about whether the nonluminal face of S6 contributes to this process. Here we demonstrate that the sulfhydral reagent, parachloromercuribenze sulfonate (PCMBS), modifies an endogenous cysteine residue predicted to have a nonluminal orientation (Cys(276)) along the sixth transmembrane segment (S6). Modification of Cys(276) manipulates the steady-state and kinetic behavior of the channel by shifting the gating equilibrium toward the open state, resulting in a left shift in apparent Ca(2+) affinity and a slowing in the deactivation process. Using a six-state gating scheme, our analysis shows that PCMBS slows the transition between the open state back to the third closed state. Interpreting this result in the context of the steady-state and kinetic data suggests that PCMBS functions to shift the gating equilibrium toward the open state by disrupting channel closing. In an attempt to understand whether the nonluminal face of S6 participates in the activation mechanism, we conducted a partial tryptophan scan of this region. Substituting a tryptophan for Leu(281) recapitulated the effect on the steady-state and kinetic behavior observed with PCMBS. Considering the predicted nonluminal orientation of Cys(276) and Leu(281), a simple physical interpretation of these results is that the nonluminal face of S6 forms a critical interaction surface mediating the transition into the closed conformation, suggesting the nonluminal C-terminal portion of S6 is allosterically coupled to the activation gate.","container-title":"The Journal of General Physiology","DOI":"10.1085/jgp.201010430","ISSN":"1540-7748","issue":"4","journalAbbreviation":"J. Gen. Physiol.","language":"eng","note":"PMID: 20837673\nPMCID: PMC2947057","page":"367-387","source":"PubMed","title":"Characterization of the PCMBS-dependent modification of KCa3.1 channel gating","volume":"136","author":[{"family":"Bailey","given":"Mark A."},{"family":"Grabe","given":"Michael"},{"family":"Devor","given":"Daniel C."}],"issued":{"date-parts":[["2010",10]]}}}],"schema":"https://github.com/citation-style-language/schema/raw/master/csl-citation.json"}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[7]</w:t>
            </w:r>
            <w:r w:rsidRPr="00B349F7">
              <w:rPr>
                <w:rFonts w:ascii="Calibri" w:eastAsia="Calibri" w:hAnsi="Calibri" w:cs="Times New Roman"/>
                <w:b/>
                <w:sz w:val="19"/>
                <w:szCs w:val="19"/>
              </w:rPr>
              <w:fldChar w:fldCharType="end"/>
            </w:r>
          </w:p>
        </w:tc>
      </w:tr>
      <w:tr w:rsidR="00B349F7" w:rsidRPr="00B349F7" w:rsidTr="00B349F7">
        <w:trPr>
          <w:trHeight w:val="548"/>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a=24</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(0.006</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b=19</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(-0.007</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α1=27</m:t>
              </m:r>
              <m:r>
                <w:rPr>
                  <w:rFonts w:ascii="Cambria Math" w:eastAsia="Times New Roman" w:hAnsi="Cambria Math" w:cs="Calibri"/>
                  <w:sz w:val="20"/>
                  <w:szCs w:val="20"/>
                  <w:lang w:val="en-GB" w:eastAsia="de-AT"/>
                </w:rPr>
                <m:t>∙</m:t>
              </m:r>
              <m:r>
                <w:rPr>
                  <w:rFonts w:ascii="Cambria Math" w:eastAsia="Calibri" w:hAnsi="Cambria Math" w:cs="Times New Roman"/>
                  <w:sz w:val="19"/>
                  <w:szCs w:val="19"/>
                </w:rPr>
                <m:t>Ca_i</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 xml:space="preserve">β1=34 </m:t>
              </m:r>
            </m:oMath>
            <w:r w:rsidRPr="00B349F7">
              <w:rPr>
                <w:rFonts w:ascii="Calibri" w:eastAsia="Times New Roman" w:hAnsi="Calibri" w:cs="Times New Roman"/>
                <w:sz w:val="19"/>
                <w:szCs w:val="19"/>
              </w:rPr>
              <w:t>ms</w:t>
            </w:r>
            <w:r w:rsidRPr="00B349F7">
              <w:rPr>
                <w:rFonts w:ascii="Calibri" w:eastAsia="Times New Roman" w:hAnsi="Calibri" w:cs="Times New Roman"/>
                <w:sz w:val="19"/>
                <w:szCs w:val="19"/>
                <w:vertAlign w:val="superscript"/>
              </w:rPr>
              <w:t>-1</w:t>
            </w:r>
          </w:p>
        </w:tc>
      </w:tr>
      <w:tr w:rsidR="00B349F7" w:rsidRPr="00B349F7" w:rsidTr="00B349F7">
        <w:trPr>
          <w:trHeight w:val="556"/>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c=4.6</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(0.8</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d=1.4</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(-0.7</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α2=5425</m:t>
              </m:r>
              <m:r>
                <w:rPr>
                  <w:rFonts w:ascii="Cambria Math" w:eastAsia="Times New Roman" w:hAnsi="Cambria Math" w:cs="Calibri"/>
                  <w:sz w:val="20"/>
                  <w:szCs w:val="20"/>
                  <w:lang w:val="en-GB" w:eastAsia="de-AT"/>
                </w:rPr>
                <m:t>∙</m:t>
              </m:r>
              <m:r>
                <w:rPr>
                  <w:rFonts w:ascii="Cambria Math" w:eastAsia="Calibri" w:hAnsi="Cambria Math" w:cs="Times New Roman"/>
                  <w:sz w:val="19"/>
                  <w:szCs w:val="19"/>
                </w:rPr>
                <m:t>Ca_i</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β2=190</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349F7" w:rsidTr="00B349F7">
        <w:trPr>
          <w:trHeight w:val="434"/>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η=142</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λ=52</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a=34</m:t>
              </m:r>
              <m:r>
                <w:rPr>
                  <w:rFonts w:ascii="Cambria Math" w:eastAsia="Times New Roman" w:hAnsi="Cambria Math" w:cs="Calibri"/>
                  <w:sz w:val="20"/>
                  <w:szCs w:val="20"/>
                  <w:lang w:val="en-GB" w:eastAsia="de-AT"/>
                </w:rPr>
                <m:t>∙</m:t>
              </m:r>
              <m:r>
                <w:rPr>
                  <w:rFonts w:ascii="Cambria Math" w:eastAsia="Calibri" w:hAnsi="Cambria Math" w:cs="Times New Roman"/>
                  <w:sz w:val="19"/>
                  <w:szCs w:val="19"/>
                </w:rPr>
                <m:t>Ca_i</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Merge w:val="restart"/>
            <w:vAlign w:val="center"/>
          </w:tcPr>
          <w:p w:rsidR="00B349F7" w:rsidRPr="00B349F7" w:rsidRDefault="00B349F7" w:rsidP="00B349F7">
            <w:pPr>
              <w:rPr>
                <w:rFonts w:ascii="Calibri" w:eastAsia="Calibri" w:hAnsi="Calibri" w:cs="Times New Roman"/>
                <w:sz w:val="19"/>
                <w:szCs w:val="19"/>
              </w:rPr>
            </w:pPr>
            <w:proofErr w:type="spellStart"/>
            <w:r w:rsidRPr="00B349F7">
              <w:rPr>
                <w:rFonts w:ascii="Calibri" w:eastAsia="Calibri" w:hAnsi="Calibri" w:cs="Times New Roman"/>
                <w:i/>
                <w:sz w:val="19"/>
                <w:szCs w:val="19"/>
              </w:rPr>
              <w:t>Ca_i</w:t>
            </w:r>
            <w:proofErr w:type="spellEnd"/>
            <w:r w:rsidRPr="00B349F7">
              <w:rPr>
                <w:rFonts w:ascii="Calibri" w:eastAsia="Calibri" w:hAnsi="Calibri" w:cs="Times New Roman"/>
                <w:sz w:val="19"/>
                <w:szCs w:val="19"/>
              </w:rPr>
              <w:t xml:space="preserve"> = 4.68 µM</w:t>
            </w:r>
          </w:p>
        </w:tc>
      </w:tr>
      <w:tr w:rsidR="00B349F7" w:rsidRPr="00B349F7" w:rsidTr="00B349F7">
        <w:trPr>
          <w:trHeight w:val="398"/>
        </w:trPr>
        <w:tc>
          <w:tcPr>
            <w:tcW w:w="5500" w:type="dxa"/>
            <w:gridSpan w:val="2"/>
            <w:vAlign w:val="center"/>
          </w:tcPr>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CLC-2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MtWpJ0yu","properties":{"formattedCitation":"[8]","plainCitation":"[8]","noteIndex":0},"citationItems":[{"id":646,"uris":["http://zotero.org/users/5488849/items/P7GSUNKF"],"uri":["http://zotero.org/users/5488849/items/P7GSUNKF"],"itemData":{"id":646,"type":"article-journal","abstract":"Various ClC-type voltage-gated chloride channel isoforms display a double barrel topology, and their gating mechanisms are thought to be similar. However, we demonstrate in this work that the nearly ubiquitous ClC-2 shows significant differences in gating when compared with ClC-0 and ClC-1. To delineate the gating of ClC-2 in quantitative terms, we have determined the voltage (V(m)) and time dependence of the protopore (P(f)) and common (P(s)) gates that control the opening and closing of the double barrel. mClC-2 was cloned from mouse salivary glands, expressed in HEK 293 cells, and the resulting chloride currents (I(Cl)) were measured using whole cell patch clamp. WT channels had I(Cl) that showed inward rectification and biexponential time course. Time constants of fast and slow components were approximately 10-fold different at negative V(m) and corresponded to P(f) and P(s), respectively. P(f) and P(s) were approximately 1 at -200 mV, while at V(m) &gt; or = 0 mV, P(f) approximately 0 and P(s) approximately 0.6. Hence, P(f) dominated open kinetics at moderately negative V(m), while at very negative V(m) both gates contributed to gating. At V(m) &gt; or = 0 mV, mClC-2 closes by shutting off P(f). Three- and two-state models described the open-to-closed transitions of P(f) and P(s), respectively. To test these models, we mutated conserved residues that had been previously shown to eliminate or alter P(f) or P(s) in other ClC channels. Based on the time and V(m) dependence of the two gates in WT and mutant channels, we constructed a model to explain the gating of mClC-2. In this model the E213 residue contributes to P(f), the dominant regulator of gating, while the C258 residue alters the V(m) dependence of P(f), probably by interacting with residue E213. These data provide a new perspective on ClC-2 gating, suggesting that the protopore gate contributes to both fast and slow gating and that gating relies strongly on the E213 residue.","container-title":"The Journal of General Physiology","DOI":"10.1085/jgp.200509310","ISSN":"0022-1295","issue":"6","journalAbbreviation":"J. Gen. Physiol.","language":"eng","note":"PMID: 16286506\nPMCID: PMC2266594","page":"591-603","source":"PubMed","title":"Quantitative analysis of the voltage-dependent gating of mouse parotid ClC-2 chloride channel","volume":"126","author":[{"family":"Santiago","given":"Jose Antonio","non-dropping-particle":"de"},{"family":"Nehrke","given":"Keith"},{"family":"Arreola","given":"Jorge"}],"issued":{"date-parts":[["2005",12]]}}}],"schema":"https://github.com/citation-style-language/schema/raw/master/csl-citation.json"}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[8]</w:t>
            </w:r>
            <w:r w:rsidRPr="00B349F7">
              <w:rPr>
                <w:rFonts w:ascii="Calibri" w:eastAsia="Calibri" w:hAnsi="Calibri" w:cs="Times New Roman"/>
                <w:b/>
                <w:sz w:val="19"/>
                <w:szCs w:val="19"/>
              </w:rPr>
              <w:fldChar w:fldCharType="end"/>
            </w:r>
          </w:p>
        </w:tc>
        <w:tc>
          <w:tcPr>
            <w:tcW w:w="2977" w:type="dxa"/>
            <w:vAlign w:val="center"/>
          </w:tcPr>
          <w:p w:rsidR="00B349F7" w:rsidRPr="00B349F7" w:rsidRDefault="00B349F7" w:rsidP="00B349F7">
            <w:pPr>
              <w:rPr>
                <w:rFonts w:ascii="Calibri" w:eastAsia="Calibri" w:hAnsi="Calibri" w:cs="Times New Roman"/>
                <w:sz w:val="19"/>
                <w:szCs w:val="19"/>
              </w:rPr>
            </w:pPr>
            <w:r w:rsidRPr="00B349F7">
              <w:rPr>
                <w:rFonts w:ascii="Calibri" w:eastAsia="Calibri" w:hAnsi="Calibri" w:cs="Calibri"/>
                <w:i/>
                <w:sz w:val="19"/>
                <w:szCs w:val="19"/>
              </w:rPr>
              <w:t>b</w:t>
            </w:r>
            <w:r w:rsidRPr="00B349F7">
              <w:rPr>
                <w:rFonts w:ascii="Calibri" w:eastAsia="Calibri" w:hAnsi="Calibri" w:cs="Times New Roman"/>
                <w:sz w:val="19"/>
                <w:szCs w:val="19"/>
              </w:rPr>
              <w:t xml:space="preserve"> = 20 </w:t>
            </w:r>
            <w:r w:rsidRPr="00B349F7">
              <w:rPr>
                <w:rFonts w:ascii="Calibri" w:eastAsia="Times New Roman" w:hAnsi="Calibri" w:cs="Times New Roman"/>
                <w:sz w:val="19"/>
                <w:szCs w:val="19"/>
              </w:rPr>
              <w:t>ms</w:t>
            </w:r>
            <w:r w:rsidRPr="00B349F7">
              <w:rPr>
                <w:rFonts w:ascii="Calibri" w:eastAsia="Times New Roman" w:hAnsi="Calibri" w:cs="Times New Roman"/>
                <w:sz w:val="19"/>
                <w:szCs w:val="19"/>
                <w:vertAlign w:val="superscript"/>
              </w:rPr>
              <w:t>-1</w:t>
            </w:r>
          </w:p>
        </w:tc>
        <w:tc>
          <w:tcPr>
            <w:tcW w:w="2835" w:type="dxa"/>
            <w:vMerge/>
            <w:vAlign w:val="center"/>
          </w:tcPr>
          <w:p w:rsidR="00B349F7" w:rsidRPr="00B349F7" w:rsidRDefault="00B349F7" w:rsidP="00B349F7">
            <w:pPr>
              <w:rPr>
                <w:rFonts w:ascii="Calibri" w:eastAsia="Calibri" w:hAnsi="Calibri" w:cs="Times New Roman"/>
                <w:sz w:val="19"/>
                <w:szCs w:val="19"/>
              </w:rPr>
            </w:pPr>
          </w:p>
        </w:tc>
      </w:tr>
      <w:tr w:rsidR="00B349F7" w:rsidRPr="00B349F7" w:rsidTr="00B349F7">
        <w:trPr>
          <w:trHeight w:val="459"/>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α1=0.0041</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-0.57VF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β1=0.1003</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0.18VF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5812" w:type="dxa"/>
            <w:gridSpan w:val="2"/>
            <w:vAlign w:val="center"/>
          </w:tcPr>
          <w:p w:rsidR="00B349F7" w:rsidRPr="00B349F7" w:rsidRDefault="00B349F7" w:rsidP="00B349F7">
            <w:pPr>
              <w:rPr>
                <w:rFonts w:ascii="Calibri" w:eastAsia="Calibri" w:hAnsi="Calibri" w:cs="Times New Roman"/>
                <w:b/>
                <w:sz w:val="19"/>
                <w:szCs w:val="19"/>
              </w:rPr>
            </w:pPr>
            <w:r w:rsidRPr="00B349F7">
              <w:rPr>
                <w:rFonts w:ascii="Calibri" w:eastAsia="Calibri" w:hAnsi="Calibri" w:cs="Times New Roman"/>
                <w:b/>
                <w:sz w:val="19"/>
                <w:szCs w:val="19"/>
              </w:rPr>
              <w:t xml:space="preserve">CRACM1 kinetic model </w:t>
            </w:r>
            <w:r w:rsidRPr="00B349F7">
              <w:rPr>
                <w:rFonts w:ascii="Calibri" w:eastAsia="Calibri" w:hAnsi="Calibri" w:cs="Times New Roman"/>
                <w:b/>
                <w:sz w:val="19"/>
                <w:szCs w:val="19"/>
              </w:rPr>
              <w:fldChar w:fldCharType="begin"/>
            </w:r>
            <w:r>
              <w:rPr>
                <w:rFonts w:ascii="Calibri" w:eastAsia="Calibri" w:hAnsi="Calibri" w:cs="Times New Roman"/>
                <w:b/>
                <w:sz w:val="19"/>
                <w:szCs w:val="19"/>
              </w:rPr>
              <w:instrText xml:space="preserve"> ADDIN ZOTERO_ITEM CSL_CITATION {"citationID":"0rKF9niq","properties":{"formattedCitation":"[9]","plainCitation":"[9]","noteIndex":0},"citationItems":[{"id":221,"uris":["http://zotero.org/users/5488849/items/XGGELLIK"],"uri":["http://zotero.org/users/5488849/items/XGGELLIK"],"itemData":{"id":221,"type":"article-journal","abstract":"Although the crucial role of Ca2+ influx in lymphocyte activation has been well documented, little is known about the properties or expression levels of Ca2+ channels in normal human T lymphocytes. The use of Na+ as the permeant ion in divalent-free solution permitted Ca2+ release-activated Ca2+ (CRAC) channel activation, kinetic properties, and functional expression levels to be investigated with single channel resolution in resting and phytohemagglutinin (PHA)-activated human T cells. Passive Ca2+ store depletion resulted in the opening of 41-pS CRAC channels characterized by high open probabilities, voltage-dependent block by extracellular Ca2+ in the micromolar range, selective Ca2+ permeation in the millimolar range, and inactivation that depended upon intracellular Mg2+ ions. The number of CRAC channels per cell increased greatly from </w:instrText>
            </w:r>
            <w:r>
              <w:rPr>
                <w:rFonts w:ascii="Cambria Math" w:eastAsia="Calibri" w:hAnsi="Cambria Math" w:cs="Cambria Math"/>
                <w:b/>
                <w:sz w:val="19"/>
                <w:szCs w:val="19"/>
              </w:rPr>
              <w:instrText>∼</w:instrText>
            </w:r>
            <w:r>
              <w:rPr>
                <w:rFonts w:ascii="Calibri" w:eastAsia="Calibri" w:hAnsi="Calibri" w:cs="Times New Roman"/>
                <w:b/>
                <w:sz w:val="19"/>
                <w:szCs w:val="19"/>
              </w:rPr>
              <w:instrText xml:space="preserve">15 in resting T cells to </w:instrText>
            </w:r>
            <w:r>
              <w:rPr>
                <w:rFonts w:ascii="Cambria Math" w:eastAsia="Calibri" w:hAnsi="Cambria Math" w:cs="Cambria Math"/>
                <w:b/>
                <w:sz w:val="19"/>
                <w:szCs w:val="19"/>
              </w:rPr>
              <w:instrText>∼</w:instrText>
            </w:r>
            <w:r>
              <w:rPr>
                <w:rFonts w:ascii="Calibri" w:eastAsia="Calibri" w:hAnsi="Calibri" w:cs="Times New Roman"/>
                <w:b/>
                <w:sz w:val="19"/>
                <w:szCs w:val="19"/>
              </w:rPr>
              <w:instrText xml:space="preserve">140 in activated T cells. Treatment with the phorbol ester PMA also increased CRAC channel expression to </w:instrText>
            </w:r>
            <w:r>
              <w:rPr>
                <w:rFonts w:ascii="Cambria Math" w:eastAsia="Calibri" w:hAnsi="Cambria Math" w:cs="Cambria Math"/>
                <w:b/>
                <w:sz w:val="19"/>
                <w:szCs w:val="19"/>
              </w:rPr>
              <w:instrText>∼</w:instrText>
            </w:r>
            <w:r>
              <w:rPr>
                <w:rFonts w:ascii="Calibri" w:eastAsia="Calibri" w:hAnsi="Calibri" w:cs="Times New Roman"/>
                <w:b/>
                <w:sz w:val="19"/>
                <w:szCs w:val="19"/>
              </w:rPr>
              <w:instrText xml:space="preserve">60 channels per cell, whereas the immunosuppressive drug cyclosporin A (1 </w:instrText>
            </w:r>
            <w:r>
              <w:rPr>
                <w:rFonts w:ascii="Calibri" w:eastAsia="Calibri" w:hAnsi="Calibri" w:cs="Calibri"/>
                <w:b/>
                <w:sz w:val="19"/>
                <w:szCs w:val="19"/>
              </w:rPr>
              <w:instrText>μ</w:instrText>
            </w:r>
            <w:r>
              <w:rPr>
                <w:rFonts w:ascii="Calibri" w:eastAsia="Calibri" w:hAnsi="Calibri" w:cs="Times New Roman"/>
                <w:b/>
                <w:sz w:val="19"/>
                <w:szCs w:val="19"/>
              </w:rPr>
              <w:instrText xml:space="preserve">M) suppressed the PHA-induced increase in functional channel expression. Capacitative Ca2+ influx induced by thapsigargin was also significantly enhanced in activated T cells. We conclude that a surprisingly low number of CRAC channels are sufficient to mediate Ca2+ influx in human resting T cells, and that the expression of CRAC channels increases </w:instrText>
            </w:r>
            <w:r>
              <w:rPr>
                <w:rFonts w:ascii="Cambria Math" w:eastAsia="Calibri" w:hAnsi="Cambria Math" w:cs="Cambria Math"/>
                <w:b/>
                <w:sz w:val="19"/>
                <w:szCs w:val="19"/>
              </w:rPr>
              <w:instrText>∼</w:instrText>
            </w:r>
            <w:r>
              <w:rPr>
                <w:rFonts w:ascii="Calibri" w:eastAsia="Calibri" w:hAnsi="Calibri" w:cs="Times New Roman"/>
                <w:b/>
                <w:sz w:val="19"/>
                <w:szCs w:val="19"/>
              </w:rPr>
              <w:instrText xml:space="preserve">10-fold during activation, resulting in enhanced Ca2+ signaling.","container-title":"The Journal of Cell Biology","DOI":"10.1083/jcb.150.6.1435","ISSN":"0021-9525, 1540-8140","issue":"6","language":"en","note":"PMID: 10995447","page":"1435-1444","source":"jcb.rupress.org","title":"Single Channel Properties and Regulated Expression of Ca2+ Release-Activated Ca2+ (Crac) Channels in Human T Cells","volume":"150","author":[{"family":"Fomina","given":"Alla F."},{"family":"Fanger","given":"Christopher M."},{"family":"Kozak","given":"J. Ashot"},{"family":"Cahalan","given":"Michael D."}],"issued":{"date-parts":[["2000",9,18]]}}}],"schema":"https://github.com/citation-style-language/schema/raw/master/csl-citation.json"} </w:instrText>
            </w:r>
            <w:r w:rsidRPr="00B349F7">
              <w:rPr>
                <w:rFonts w:ascii="Calibri" w:eastAsia="Calibri" w:hAnsi="Calibri" w:cs="Times New Roman"/>
                <w:b/>
                <w:sz w:val="19"/>
                <w:szCs w:val="19"/>
              </w:rPr>
              <w:fldChar w:fldCharType="separate"/>
            </w:r>
            <w:r w:rsidR="00706AFC" w:rsidRPr="00706AFC">
              <w:rPr>
                <w:rFonts w:ascii="Calibri" w:hAnsi="Calibri" w:cs="Calibri"/>
                <w:sz w:val="19"/>
              </w:rPr>
              <w:t>[9]</w:t>
            </w:r>
            <w:r w:rsidRPr="00B349F7">
              <w:rPr>
                <w:rFonts w:ascii="Calibri" w:eastAsia="Calibri" w:hAnsi="Calibri" w:cs="Times New Roman"/>
                <w:b/>
                <w:sz w:val="19"/>
                <w:szCs w:val="19"/>
              </w:rPr>
              <w:fldChar w:fldCharType="end"/>
            </w:r>
          </w:p>
        </w:tc>
      </w:tr>
      <w:tr w:rsidR="00B349F7" w:rsidRPr="00B349F7" w:rsidTr="00B349F7">
        <w:trPr>
          <w:trHeight w:val="552"/>
        </w:trPr>
        <w:tc>
          <w:tcPr>
            <w:tcW w:w="2694"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α2=0.0064</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-0.2VF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06" w:type="dxa"/>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β2=0.0106</m:t>
              </m:r>
              <m:r>
                <w:rPr>
                  <w:rFonts w:ascii="Cambria Math" w:eastAsia="Times New Roman" w:hAnsi="Cambria Math" w:cs="Calibri"/>
                  <w:sz w:val="20"/>
                  <w:szCs w:val="20"/>
                  <w:lang w:val="en-GB" w:eastAsia="de-AT"/>
                </w:rPr>
                <m:t>∙</m:t>
              </m:r>
              <m:func>
                <m:funcPr>
                  <m:ctrlPr>
                    <w:rPr>
                      <w:rFonts w:ascii="Cambria Math" w:eastAsia="Calibri" w:hAnsi="Cambria Math" w:cs="Times New Roman"/>
                      <w:i/>
                      <w:sz w:val="19"/>
                      <w:szCs w:val="19"/>
                    </w:rPr>
                  </m:ctrlPr>
                </m:funcPr>
                <m:fName>
                  <m:r>
                    <m:rPr>
                      <m:sty m:val="p"/>
                    </m:rPr>
                    <w:rPr>
                      <w:rFonts w:ascii="Cambria Math" w:eastAsia="Calibri" w:hAnsi="Cambria Math" w:cs="Times New Roman"/>
                      <w:sz w:val="19"/>
                      <w:szCs w:val="19"/>
                    </w:rPr>
                    <m:t>exp</m:t>
                  </m:r>
                </m:fName>
                <m:e>
                  <m:d>
                    <m:dPr>
                      <m:ctrlPr>
                        <w:rPr>
                          <w:rFonts w:ascii="Cambria Math" w:eastAsia="Calibri" w:hAnsi="Cambria Math" w:cs="Times New Roman"/>
                          <w:i/>
                          <w:sz w:val="19"/>
                          <w:szCs w:val="19"/>
                        </w:rPr>
                      </m:ctrlPr>
                    </m:dPr>
                    <m:e>
                      <m:f>
                        <m:fPr>
                          <m:ctrlPr>
                            <w:rPr>
                              <w:rFonts w:ascii="Cambria Math" w:eastAsia="Calibri" w:hAnsi="Cambria Math" w:cs="Times New Roman"/>
                              <w:i/>
                              <w:sz w:val="19"/>
                              <w:szCs w:val="19"/>
                            </w:rPr>
                          </m:ctrlPr>
                        </m:fPr>
                        <m:num>
                          <m:r>
                            <w:rPr>
                              <w:rFonts w:ascii="Cambria Math" w:eastAsia="Calibri" w:hAnsi="Cambria Math" w:cs="Times New Roman"/>
                              <w:sz w:val="19"/>
                              <w:szCs w:val="19"/>
                            </w:rPr>
                            <m:t>0.32VF</m:t>
                          </m:r>
                        </m:num>
                        <m:den>
                          <m:r>
                            <w:rPr>
                              <w:rFonts w:ascii="Cambria Math" w:eastAsia="Calibri" w:hAnsi="Cambria Math" w:cs="Times New Roman"/>
                              <w:sz w:val="19"/>
                              <w:szCs w:val="19"/>
                            </w:rPr>
                            <m:t>RT</m:t>
                          </m:r>
                        </m:den>
                      </m:f>
                    </m:e>
                  </m:d>
                </m:e>
              </m:func>
              <m:r>
                <w:rPr>
                  <w:rFonts w:ascii="Cambria Math" w:eastAsia="Calibri" w:hAnsi="Cambria Math" w:cs="Times New Roman"/>
                  <w:sz w:val="19"/>
                  <w:szCs w:val="19"/>
                </w:rPr>
                <m:t>m</m:t>
              </m:r>
            </m:oMath>
            <w:r w:rsidRPr="00B349F7">
              <w:rPr>
                <w:rFonts w:ascii="Calibri" w:eastAsia="Times New Roman" w:hAnsi="Calibri" w:cs="Times New Roman"/>
                <w:sz w:val="19"/>
                <w:szCs w:val="19"/>
              </w:rPr>
              <w:t>s</w:t>
            </w:r>
            <w:r w:rsidRPr="00B349F7">
              <w:rPr>
                <w:rFonts w:ascii="Calibri" w:eastAsia="Times New Roman" w:hAnsi="Calibri" w:cs="Times New Roman"/>
                <w:sz w:val="19"/>
                <w:szCs w:val="19"/>
                <w:vertAlign w:val="superscript"/>
              </w:rPr>
              <w:t>-1</w:t>
            </w:r>
          </w:p>
        </w:tc>
        <w:tc>
          <w:tcPr>
            <w:tcW w:w="2977" w:type="dxa"/>
            <w:vMerge w:val="restart"/>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a=41</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110</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835" w:type="dxa"/>
            <w:vMerge w:val="restart"/>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b=19</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V</m:t>
                  </m:r>
                </m:num>
                <m:den>
                  <m:r>
                    <w:rPr>
                      <w:rFonts w:ascii="Cambria Math" w:eastAsia="Calibri" w:hAnsi="Cambria Math" w:cs="Times New Roman"/>
                      <w:sz w:val="19"/>
                      <w:szCs w:val="19"/>
                    </w:rPr>
                    <m:t>48</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r>
      <w:tr w:rsidR="00B349F7" w:rsidRPr="00BC696D" w:rsidTr="00B349F7">
        <w:trPr>
          <w:trHeight w:val="728"/>
        </w:trPr>
        <w:tc>
          <w:tcPr>
            <w:tcW w:w="2694" w:type="dxa"/>
            <w:tcBorders>
              <w:bottom w:val="single" w:sz="4" w:space="0" w:color="auto"/>
            </w:tcBorders>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λ=0.0017</m:t>
              </m:r>
              <m:r>
                <w:rPr>
                  <w:rFonts w:ascii="Cambria Math" w:eastAsia="Times New Roman" w:hAnsi="Cambria Math" w:cs="Calibri"/>
                  <w:sz w:val="20"/>
                  <w:szCs w:val="20"/>
                  <w:lang w:val="en-GB" w:eastAsia="de-AT"/>
                </w:rPr>
                <m:t>∙</m:t>
              </m:r>
              <m:func>
                <m:funcPr>
                  <m:ctrlPr>
                    <w:rPr>
                      <w:rFonts w:ascii="Cambria Math" w:eastAsia="Calibri" w:hAnsi="Cambria Math" w:cs="Times New Roman"/>
                      <w:sz w:val="19"/>
                      <w:szCs w:val="19"/>
                    </w:rPr>
                  </m:ctrlPr>
                </m:funcPr>
                <m:fName>
                  <m:r>
                    <m:rPr>
                      <m:sty m:val="p"/>
                    </m:rPr>
                    <w:rPr>
                      <w:rFonts w:ascii="Cambria Math" w:eastAsia="Calibri" w:hAnsi="Cambria Math" w:cs="Times New Roman"/>
                      <w:sz w:val="19"/>
                      <w:szCs w:val="19"/>
                    </w:rPr>
                    <m:t>exp</m:t>
                  </m:r>
                  <m:ctrlPr>
                    <w:rPr>
                      <w:rFonts w:ascii="Cambria Math" w:eastAsia="Calibri" w:hAnsi="Cambria Math" w:cs="Times New Roman"/>
                      <w:i/>
                      <w:sz w:val="19"/>
                      <w:szCs w:val="19"/>
                    </w:rPr>
                  </m:ctrlPr>
                </m:fName>
                <m:e>
                  <m:d>
                    <m:dPr>
                      <m:ctrlPr>
                        <w:rPr>
                          <w:rFonts w:ascii="Cambria Math" w:eastAsia="Calibri" w:hAnsi="Cambria Math" w:cs="Times New Roman"/>
                          <w:i/>
                          <w:sz w:val="19"/>
                          <w:szCs w:val="19"/>
                        </w:rPr>
                      </m:ctrlPr>
                    </m:dPr>
                    <m:e>
                      <m:f>
                        <m:fPr>
                          <m:ctrlPr>
                            <w:rPr>
                              <w:rFonts w:ascii="Cambria Math" w:eastAsia="Calibri" w:hAnsi="Cambria Math" w:cs="Times New Roman"/>
                              <w:i/>
                              <w:sz w:val="19"/>
                              <w:szCs w:val="19"/>
                            </w:rPr>
                          </m:ctrlPr>
                        </m:fPr>
                        <m:num>
                          <m:r>
                            <w:rPr>
                              <w:rFonts w:ascii="Cambria Math" w:eastAsia="Calibri" w:hAnsi="Cambria Math" w:cs="Times New Roman"/>
                              <w:sz w:val="19"/>
                              <w:szCs w:val="19"/>
                            </w:rPr>
                            <m:t>-0.3VF</m:t>
                          </m:r>
                        </m:num>
                        <m:den>
                          <m:r>
                            <w:rPr>
                              <w:rFonts w:ascii="Cambria Math" w:eastAsia="Calibri" w:hAnsi="Cambria Math" w:cs="Times New Roman"/>
                              <w:sz w:val="19"/>
                              <w:szCs w:val="19"/>
                            </w:rPr>
                            <m:t>RT</m:t>
                          </m:r>
                        </m:den>
                      </m:f>
                    </m:e>
                  </m:d>
                </m:e>
              </m:func>
              <m:r>
                <w:rPr>
                  <w:rFonts w:ascii="Cambria Math" w:eastAsia="Calibri" w:hAnsi="Cambria Math" w:cs="Times New Roman"/>
                  <w:sz w:val="19"/>
                  <w:szCs w:val="19"/>
                </w:rPr>
                <m:t>+0.0088</m:t>
              </m:r>
              <m:r>
                <w:rPr>
                  <w:rFonts w:ascii="Cambria Math" w:eastAsia="Times New Roman" w:hAnsi="Cambria Math" w:cs="Calibri"/>
                  <w:sz w:val="20"/>
                  <w:szCs w:val="20"/>
                  <w:lang w:val="en-GB" w:eastAsia="de-AT"/>
                </w:rPr>
                <m:t>∙</m:t>
              </m:r>
              <m:func>
                <m:funcPr>
                  <m:ctrlPr>
                    <w:rPr>
                      <w:rFonts w:ascii="Cambria Math" w:eastAsia="Calibri" w:hAnsi="Cambria Math" w:cs="Times New Roman"/>
                      <w:i/>
                      <w:sz w:val="19"/>
                      <w:szCs w:val="19"/>
                    </w:rPr>
                  </m:ctrlPr>
                </m:funcPr>
                <m:fName>
                  <m:r>
                    <m:rPr>
                      <m:sty m:val="p"/>
                    </m:rPr>
                    <w:rPr>
                      <w:rFonts w:ascii="Cambria Math" w:eastAsia="Calibri" w:hAnsi="Cambria Math" w:cs="Times New Roman"/>
                      <w:sz w:val="19"/>
                      <w:szCs w:val="19"/>
                    </w:rPr>
                    <m:t>exp</m:t>
                  </m:r>
                </m:fName>
                <m:e>
                  <m:d>
                    <m:dPr>
                      <m:ctrlPr>
                        <w:rPr>
                          <w:rFonts w:ascii="Cambria Math" w:eastAsia="Calibri" w:hAnsi="Cambria Math" w:cs="Times New Roman"/>
                          <w:i/>
                          <w:sz w:val="19"/>
                          <w:szCs w:val="19"/>
                        </w:rPr>
                      </m:ctrlPr>
                    </m:dPr>
                    <m:e>
                      <m:f>
                        <m:fPr>
                          <m:ctrlPr>
                            <w:rPr>
                              <w:rFonts w:ascii="Cambria Math" w:eastAsia="Calibri" w:hAnsi="Cambria Math" w:cs="Times New Roman"/>
                              <w:i/>
                              <w:sz w:val="19"/>
                              <w:szCs w:val="19"/>
                            </w:rPr>
                          </m:ctrlPr>
                        </m:fPr>
                        <m:num>
                          <m:r>
                            <w:rPr>
                              <w:rFonts w:ascii="Cambria Math" w:eastAsia="Calibri" w:hAnsi="Cambria Math" w:cs="Times New Roman"/>
                              <w:sz w:val="19"/>
                              <w:szCs w:val="19"/>
                            </w:rPr>
                            <m:t>0.14VF</m:t>
                          </m:r>
                        </m:num>
                        <m:den>
                          <m:r>
                            <w:rPr>
                              <w:rFonts w:ascii="Cambria Math" w:eastAsia="Calibri" w:hAnsi="Cambria Math" w:cs="Times New Roman"/>
                              <w:sz w:val="19"/>
                              <w:szCs w:val="19"/>
                            </w:rPr>
                            <m:t>RT</m:t>
                          </m:r>
                        </m:den>
                      </m:f>
                    </m:e>
                  </m:d>
                </m:e>
              </m:func>
              <m:r>
                <w:rPr>
                  <w:rFonts w:ascii="Cambria Math" w:eastAsia="Calibri" w:hAnsi="Cambria Math" w:cs="Times New Roman"/>
                  <w:sz w:val="19"/>
                  <w:szCs w:val="19"/>
                </w:rPr>
                <m:t xml:space="preserve"> m</m:t>
              </m:r>
            </m:oMath>
            <w:r w:rsidRPr="00B349F7">
              <w:rPr>
                <w:rFonts w:ascii="Calibri" w:eastAsia="Times New Roman" w:hAnsi="Calibri" w:cs="Times New Roman"/>
                <w:sz w:val="19"/>
                <w:szCs w:val="19"/>
              </w:rPr>
              <w:t>s</w:t>
            </w:r>
            <w:r w:rsidRPr="00B349F7">
              <w:rPr>
                <w:rFonts w:ascii="Calibri" w:eastAsia="Times New Roman" w:hAnsi="Calibri" w:cs="Times New Roman"/>
                <w:sz w:val="19"/>
                <w:szCs w:val="19"/>
                <w:vertAlign w:val="superscript"/>
              </w:rPr>
              <w:t>-1</w:t>
            </w:r>
          </w:p>
        </w:tc>
        <w:tc>
          <w:tcPr>
            <w:tcW w:w="2806" w:type="dxa"/>
            <w:tcBorders>
              <w:bottom w:val="single" w:sz="4" w:space="0" w:color="auto"/>
            </w:tcBorders>
            <w:vAlign w:val="center"/>
          </w:tcPr>
          <w:p w:rsidR="00B349F7" w:rsidRPr="00B349F7" w:rsidRDefault="00B349F7" w:rsidP="00B349F7">
            <w:pPr>
              <w:rPr>
                <w:rFonts w:ascii="Calibri" w:eastAsia="Calibri" w:hAnsi="Calibri" w:cs="Times New Roman"/>
                <w:sz w:val="19"/>
                <w:szCs w:val="19"/>
              </w:rPr>
            </w:pPr>
            <m:oMath>
              <m:r>
                <w:rPr>
                  <w:rFonts w:ascii="Cambria Math" w:eastAsia="Calibri" w:hAnsi="Cambria Math" w:cs="Times New Roman"/>
                  <w:sz w:val="19"/>
                  <w:szCs w:val="19"/>
                </w:rPr>
                <m:t>μ=0.0049</m:t>
              </m:r>
              <m:r>
                <w:rPr>
                  <w:rFonts w:ascii="Cambria Math" w:eastAsia="Times New Roman" w:hAnsi="Cambria Math" w:cs="Calibri"/>
                  <w:sz w:val="20"/>
                  <w:szCs w:val="20"/>
                  <w:lang w:val="en-GB" w:eastAsia="de-AT"/>
                </w:rPr>
                <m:t>∙</m:t>
              </m:r>
              <m:r>
                <m:rPr>
                  <m:sty m:val="p"/>
                </m:rPr>
                <w:rPr>
                  <w:rFonts w:ascii="Cambria Math" w:eastAsia="Calibri" w:hAnsi="Cambria Math" w:cs="Times New Roman"/>
                  <w:sz w:val="19"/>
                  <w:szCs w:val="19"/>
                </w:rPr>
                <m:t>exp⁡</m:t>
              </m:r>
              <m:r>
                <w:rPr>
                  <w:rFonts w:ascii="Cambria Math" w:eastAsia="Calibri" w:hAnsi="Cambria Math" w:cs="Times New Roman"/>
                  <w:sz w:val="19"/>
                  <w:szCs w:val="19"/>
                </w:rPr>
                <m:t>(</m:t>
              </m:r>
              <m:f>
                <m:fPr>
                  <m:ctrlPr>
                    <w:rPr>
                      <w:rFonts w:ascii="Cambria Math" w:eastAsia="Calibri" w:hAnsi="Cambria Math" w:cs="Times New Roman"/>
                      <w:i/>
                      <w:sz w:val="19"/>
                      <w:szCs w:val="19"/>
                    </w:rPr>
                  </m:ctrlPr>
                </m:fPr>
                <m:num>
                  <m:r>
                    <w:rPr>
                      <w:rFonts w:ascii="Cambria Math" w:eastAsia="Calibri" w:hAnsi="Cambria Math" w:cs="Times New Roman"/>
                      <w:sz w:val="19"/>
                      <w:szCs w:val="19"/>
                    </w:rPr>
                    <m:t>0.18VF</m:t>
                  </m:r>
                </m:num>
                <m:den>
                  <m:r>
                    <w:rPr>
                      <w:rFonts w:ascii="Cambria Math" w:eastAsia="Calibri" w:hAnsi="Cambria Math" w:cs="Times New Roman"/>
                      <w:sz w:val="19"/>
                      <w:szCs w:val="19"/>
                    </w:rPr>
                    <m:t>RT</m:t>
                  </m:r>
                </m:den>
              </m:f>
              <m:r>
                <w:rPr>
                  <w:rFonts w:ascii="Cambria Math" w:eastAsia="Calibri" w:hAnsi="Cambria Math" w:cs="Times New Roman"/>
                  <w:sz w:val="19"/>
                  <w:szCs w:val="19"/>
                </w:rPr>
                <m:t>)</m:t>
              </m:r>
            </m:oMath>
            <w:r w:rsidRPr="00B349F7">
              <w:rPr>
                <w:rFonts w:ascii="Calibri" w:eastAsia="Times New Roman" w:hAnsi="Calibri" w:cs="Times New Roman"/>
                <w:sz w:val="19"/>
                <w:szCs w:val="19"/>
              </w:rPr>
              <w:t xml:space="preserve"> ms</w:t>
            </w:r>
            <w:r w:rsidRPr="00B349F7">
              <w:rPr>
                <w:rFonts w:ascii="Calibri" w:eastAsia="Times New Roman" w:hAnsi="Calibri" w:cs="Times New Roman"/>
                <w:sz w:val="19"/>
                <w:szCs w:val="19"/>
                <w:vertAlign w:val="superscript"/>
              </w:rPr>
              <w:t>-1</w:t>
            </w:r>
          </w:p>
        </w:tc>
        <w:tc>
          <w:tcPr>
            <w:tcW w:w="2977" w:type="dxa"/>
            <w:vMerge/>
            <w:tcBorders>
              <w:bottom w:val="single" w:sz="4" w:space="0" w:color="auto"/>
            </w:tcBorders>
            <w:vAlign w:val="center"/>
          </w:tcPr>
          <w:p w:rsidR="00B349F7" w:rsidRPr="00B349F7" w:rsidRDefault="00B349F7" w:rsidP="00B349F7">
            <w:pPr>
              <w:rPr>
                <w:rFonts w:ascii="Calibri" w:eastAsia="Calibri" w:hAnsi="Calibri" w:cs="Times New Roman"/>
                <w:sz w:val="19"/>
                <w:szCs w:val="19"/>
              </w:rPr>
            </w:pPr>
          </w:p>
        </w:tc>
        <w:tc>
          <w:tcPr>
            <w:tcW w:w="2835" w:type="dxa"/>
            <w:vMerge/>
            <w:tcBorders>
              <w:bottom w:val="single" w:sz="4" w:space="0" w:color="auto"/>
            </w:tcBorders>
            <w:vAlign w:val="center"/>
          </w:tcPr>
          <w:p w:rsidR="00B349F7" w:rsidRPr="00B349F7" w:rsidRDefault="00B349F7" w:rsidP="00B349F7">
            <w:pPr>
              <w:rPr>
                <w:rFonts w:ascii="Calibri" w:eastAsia="Calibri" w:hAnsi="Calibri" w:cs="Times New Roman"/>
                <w:sz w:val="19"/>
                <w:szCs w:val="19"/>
              </w:rPr>
            </w:pPr>
          </w:p>
        </w:tc>
      </w:tr>
    </w:tbl>
    <w:p w:rsidR="00B349F7" w:rsidRPr="00B349F7" w:rsidRDefault="00B349F7" w:rsidP="00B349F7">
      <w:pPr>
        <w:spacing w:after="200" w:line="276" w:lineRule="auto"/>
        <w:rPr>
          <w:rFonts w:ascii="Calibri" w:eastAsia="Calibri" w:hAnsi="Calibri" w:cs="Times New Roman"/>
          <w:lang w:val="en-US"/>
        </w:rPr>
      </w:pPr>
    </w:p>
    <w:p w:rsidR="00CA473D" w:rsidRDefault="00CA473D" w:rsidP="00B349F7">
      <w:pPr>
        <w:rPr>
          <w:rFonts w:ascii="Calibri" w:eastAsia="Calibri" w:hAnsi="Calibri" w:cs="Times New Roman"/>
          <w:lang w:val="en-US"/>
        </w:rPr>
      </w:pPr>
    </w:p>
    <w:p w:rsidR="00B349F7" w:rsidRPr="003C3E44" w:rsidRDefault="001F7ECB" w:rsidP="00B349F7">
      <w:pPr>
        <w:rPr>
          <w:lang w:val="en-US"/>
        </w:rPr>
      </w:pPr>
      <w:r>
        <w:rPr>
          <w:b/>
          <w:lang w:val="en-US"/>
        </w:rPr>
        <w:t xml:space="preserve">Supporting </w:t>
      </w:r>
      <w:r w:rsidR="00B349F7" w:rsidRPr="003C3E44">
        <w:rPr>
          <w:b/>
          <w:lang w:val="en-US"/>
        </w:rPr>
        <w:t>References</w:t>
      </w:r>
    </w:p>
    <w:p w:rsidR="00706AFC" w:rsidRPr="00BC696D" w:rsidRDefault="00B349F7" w:rsidP="002A2ECF">
      <w:pPr>
        <w:pStyle w:val="Literaturverzeichnis"/>
        <w:jc w:val="both"/>
        <w:rPr>
          <w:rFonts w:ascii="Calibri" w:hAnsi="Calibri" w:cs="Calibri"/>
          <w:sz w:val="20"/>
          <w:szCs w:val="20"/>
        </w:rPr>
      </w:pPr>
      <w:r w:rsidRPr="002A2ECF">
        <w:rPr>
          <w:rFonts w:ascii="Calibri" w:eastAsia="Calibri" w:hAnsi="Calibri"/>
          <w:b/>
          <w:sz w:val="20"/>
          <w:szCs w:val="20"/>
          <w:lang w:val="en-US"/>
        </w:rPr>
        <w:fldChar w:fldCharType="begin"/>
      </w:r>
      <w:r w:rsidR="00706AFC" w:rsidRPr="002A2ECF">
        <w:rPr>
          <w:rFonts w:ascii="Calibri" w:eastAsia="Calibri" w:hAnsi="Calibri"/>
          <w:b/>
          <w:sz w:val="20"/>
          <w:szCs w:val="20"/>
          <w:lang w:val="en-US"/>
        </w:rPr>
        <w:instrText xml:space="preserve"> ADDIN ZOTERO_BIBL {"uncited":[],"omitted":[],"custom":[]} CSL_BIBLIOGRAPHY </w:instrText>
      </w:r>
      <w:r w:rsidRPr="002A2ECF">
        <w:rPr>
          <w:rFonts w:ascii="Calibri" w:eastAsia="Calibri" w:hAnsi="Calibri"/>
          <w:b/>
          <w:sz w:val="20"/>
          <w:szCs w:val="20"/>
          <w:lang w:val="en-US"/>
        </w:rPr>
        <w:fldChar w:fldCharType="separate"/>
      </w:r>
      <w:r w:rsidR="00706AFC" w:rsidRPr="002A2ECF">
        <w:rPr>
          <w:rFonts w:ascii="Calibri" w:hAnsi="Calibri" w:cs="Calibri"/>
          <w:sz w:val="20"/>
          <w:szCs w:val="20"/>
          <w:lang w:val="en-US"/>
        </w:rPr>
        <w:t xml:space="preserve">1. </w:t>
      </w:r>
      <w:r w:rsidR="00706AFC" w:rsidRPr="002A2ECF">
        <w:rPr>
          <w:rFonts w:ascii="Calibri" w:hAnsi="Calibri" w:cs="Calibri"/>
          <w:sz w:val="20"/>
          <w:szCs w:val="20"/>
          <w:lang w:val="en-US"/>
        </w:rPr>
        <w:tab/>
        <w:t xml:space="preserve">Hou P, Zhang R, Liu Y, Feng J, Wang W, Wu Y, et al. Physiological role of Kv1.3 channel in T lymphocyte cell investigated quantitatively by kinetic modeling. </w:t>
      </w:r>
      <w:proofErr w:type="spellStart"/>
      <w:r w:rsidR="00706AFC" w:rsidRPr="00BC696D">
        <w:rPr>
          <w:rFonts w:ascii="Calibri" w:hAnsi="Calibri" w:cs="Calibri"/>
          <w:sz w:val="20"/>
          <w:szCs w:val="20"/>
        </w:rPr>
        <w:t>PLoS</w:t>
      </w:r>
      <w:proofErr w:type="spellEnd"/>
      <w:r w:rsidR="00706AFC" w:rsidRPr="00BC696D">
        <w:rPr>
          <w:rFonts w:ascii="Calibri" w:hAnsi="Calibri" w:cs="Calibri"/>
          <w:sz w:val="20"/>
          <w:szCs w:val="20"/>
        </w:rPr>
        <w:t xml:space="preserve"> ONE. 2014;9: e89975. </w:t>
      </w:r>
      <w:proofErr w:type="gramStart"/>
      <w:r w:rsidR="00706AFC" w:rsidRPr="00BC696D">
        <w:rPr>
          <w:rFonts w:ascii="Calibri" w:hAnsi="Calibri" w:cs="Calibri"/>
          <w:sz w:val="20"/>
          <w:szCs w:val="20"/>
        </w:rPr>
        <w:t>doi:10.1371/journal.pone</w:t>
      </w:r>
      <w:proofErr w:type="gramEnd"/>
      <w:r w:rsidR="00706AFC" w:rsidRPr="00BC696D">
        <w:rPr>
          <w:rFonts w:ascii="Calibri" w:hAnsi="Calibri" w:cs="Calibri"/>
          <w:sz w:val="20"/>
          <w:szCs w:val="20"/>
        </w:rPr>
        <w:t>.0089975</w:t>
      </w:r>
    </w:p>
    <w:p w:rsidR="00706AFC" w:rsidRPr="002A2ECF" w:rsidRDefault="00706AFC" w:rsidP="002A2ECF">
      <w:pPr>
        <w:pStyle w:val="Literaturverzeichnis"/>
        <w:jc w:val="both"/>
        <w:rPr>
          <w:rFonts w:ascii="Calibri" w:hAnsi="Calibri" w:cs="Calibri"/>
          <w:sz w:val="20"/>
          <w:szCs w:val="20"/>
          <w:lang w:val="en-US"/>
        </w:rPr>
      </w:pPr>
      <w:r w:rsidRPr="002A2ECF">
        <w:rPr>
          <w:rFonts w:ascii="Calibri" w:hAnsi="Calibri" w:cs="Calibri"/>
          <w:sz w:val="20"/>
          <w:szCs w:val="20"/>
        </w:rPr>
        <w:t xml:space="preserve">2. </w:t>
      </w:r>
      <w:r w:rsidRPr="002A2ECF">
        <w:rPr>
          <w:rFonts w:ascii="Calibri" w:hAnsi="Calibri" w:cs="Calibri"/>
          <w:sz w:val="20"/>
          <w:szCs w:val="20"/>
        </w:rPr>
        <w:tab/>
        <w:t xml:space="preserve">Limberg SH, Netter MF, Rolfes C, Rinné S, Schlichthörl G, Zuzarte M, et al. </w:t>
      </w:r>
      <w:r w:rsidRPr="002A2ECF">
        <w:rPr>
          <w:rFonts w:ascii="Calibri" w:hAnsi="Calibri" w:cs="Calibri"/>
          <w:sz w:val="20"/>
          <w:szCs w:val="20"/>
          <w:lang w:val="en-US"/>
        </w:rPr>
        <w:t>TASK-1 channels may modulate action potential duration of human atrial cardiomyocytes. Cell Physiol Biochem. 2011;28: 613–624. doi:10.1159/000335757</w:t>
      </w:r>
    </w:p>
    <w:p w:rsidR="00706AFC" w:rsidRPr="002A2ECF" w:rsidRDefault="00706AFC" w:rsidP="002A2ECF">
      <w:pPr>
        <w:pStyle w:val="Literaturverzeichnis"/>
        <w:jc w:val="both"/>
        <w:rPr>
          <w:rFonts w:ascii="Calibri" w:hAnsi="Calibri" w:cs="Calibri"/>
          <w:sz w:val="20"/>
          <w:szCs w:val="20"/>
          <w:lang w:val="en-US"/>
        </w:rPr>
      </w:pPr>
      <w:r w:rsidRPr="002A2ECF">
        <w:rPr>
          <w:rFonts w:ascii="Calibri" w:hAnsi="Calibri" w:cs="Calibri"/>
          <w:sz w:val="20"/>
          <w:szCs w:val="20"/>
          <w:lang w:val="en-US"/>
        </w:rPr>
        <w:t xml:space="preserve">3. </w:t>
      </w:r>
      <w:r w:rsidRPr="002A2ECF">
        <w:rPr>
          <w:rFonts w:ascii="Calibri" w:hAnsi="Calibri" w:cs="Calibri"/>
          <w:sz w:val="20"/>
          <w:szCs w:val="20"/>
          <w:lang w:val="en-US"/>
        </w:rPr>
        <w:tab/>
        <w:t>Wang W, Xiao F, Zeng X, Yao J, Yuchi M, Ding J. Optimal estimation of ion-channel kinetics from macroscopic currents. PLoS ONE. 2012;7: e35208. doi:10.1371/journal.pone.0035208</w:t>
      </w:r>
    </w:p>
    <w:p w:rsidR="00706AFC" w:rsidRPr="002A2ECF" w:rsidRDefault="00706AFC" w:rsidP="002A2ECF">
      <w:pPr>
        <w:pStyle w:val="Literaturverzeichnis"/>
        <w:jc w:val="both"/>
        <w:rPr>
          <w:rFonts w:ascii="Calibri" w:hAnsi="Calibri" w:cs="Calibri"/>
          <w:sz w:val="20"/>
          <w:szCs w:val="20"/>
          <w:lang w:val="en-US"/>
        </w:rPr>
      </w:pPr>
      <w:r w:rsidRPr="002A2ECF">
        <w:rPr>
          <w:rFonts w:ascii="Calibri" w:hAnsi="Calibri" w:cs="Calibri"/>
          <w:sz w:val="20"/>
          <w:szCs w:val="20"/>
          <w:lang w:val="en-US"/>
        </w:rPr>
        <w:lastRenderedPageBreak/>
        <w:t xml:space="preserve">4. </w:t>
      </w:r>
      <w:r w:rsidRPr="002A2ECF">
        <w:rPr>
          <w:rFonts w:ascii="Calibri" w:hAnsi="Calibri" w:cs="Calibri"/>
          <w:sz w:val="20"/>
          <w:szCs w:val="20"/>
          <w:lang w:val="en-US"/>
        </w:rPr>
        <w:tab/>
        <w:t>Wang W, Luo J, Hou P, Yang Y, Xiao F, Yuchi M, et al. Native gating behavior of ion channels in neurons with null-deviation modeling. PLoS ONE. 2013;8: e77105. doi:10.1371/journal.pone.0077105</w:t>
      </w:r>
    </w:p>
    <w:p w:rsidR="00706AFC" w:rsidRPr="002A2ECF" w:rsidRDefault="00706AFC" w:rsidP="002A2ECF">
      <w:pPr>
        <w:pStyle w:val="Literaturverzeichnis"/>
        <w:jc w:val="both"/>
        <w:rPr>
          <w:rFonts w:ascii="Calibri" w:hAnsi="Calibri" w:cs="Calibri"/>
          <w:sz w:val="20"/>
          <w:szCs w:val="20"/>
          <w:lang w:val="en-US"/>
        </w:rPr>
      </w:pPr>
      <w:r w:rsidRPr="002A2ECF">
        <w:rPr>
          <w:rFonts w:ascii="Calibri" w:hAnsi="Calibri" w:cs="Calibri"/>
          <w:sz w:val="20"/>
          <w:szCs w:val="20"/>
          <w:lang w:val="en-US"/>
        </w:rPr>
        <w:t xml:space="preserve">5. </w:t>
      </w:r>
      <w:r w:rsidRPr="002A2ECF">
        <w:rPr>
          <w:rFonts w:ascii="Calibri" w:hAnsi="Calibri" w:cs="Calibri"/>
          <w:sz w:val="20"/>
          <w:szCs w:val="20"/>
          <w:lang w:val="en-US"/>
        </w:rPr>
        <w:tab/>
        <w:t>Fineberg JD, Ritter DM, Covarrubias M. Modeling-independent elucidation of inactivation pathways in recombinant and native A-type Kv channels. J Gen Physiol. 2012;140: 513–527. doi:10.1085/jgp.201210869</w:t>
      </w:r>
    </w:p>
    <w:p w:rsidR="00706AFC" w:rsidRPr="002A2ECF" w:rsidRDefault="00706AFC" w:rsidP="002A2ECF">
      <w:pPr>
        <w:pStyle w:val="Literaturverzeichnis"/>
        <w:jc w:val="both"/>
        <w:rPr>
          <w:rFonts w:ascii="Calibri" w:hAnsi="Calibri" w:cs="Calibri"/>
          <w:sz w:val="20"/>
          <w:szCs w:val="20"/>
          <w:lang w:val="en-US"/>
        </w:rPr>
      </w:pPr>
      <w:r w:rsidRPr="002A2ECF">
        <w:rPr>
          <w:rFonts w:ascii="Calibri" w:hAnsi="Calibri" w:cs="Calibri"/>
          <w:sz w:val="20"/>
          <w:szCs w:val="20"/>
          <w:lang w:val="en-US"/>
        </w:rPr>
        <w:t xml:space="preserve">6. </w:t>
      </w:r>
      <w:r w:rsidRPr="002A2ECF">
        <w:rPr>
          <w:rFonts w:ascii="Calibri" w:hAnsi="Calibri" w:cs="Calibri"/>
          <w:sz w:val="20"/>
          <w:szCs w:val="20"/>
          <w:lang w:val="en-US"/>
        </w:rPr>
        <w:tab/>
        <w:t>Pusch M, Magrassi R, Wollnik B, Conti F. Activation and inactivation of homomeric KvLQT1 potassium channels. Biophys J. 1998;75: 785–792. doi:10.1016/S0006-3495(98)77568-X</w:t>
      </w:r>
    </w:p>
    <w:p w:rsidR="00706AFC" w:rsidRPr="002A2ECF" w:rsidRDefault="00706AFC" w:rsidP="002A2ECF">
      <w:pPr>
        <w:pStyle w:val="Literaturverzeichnis"/>
        <w:jc w:val="both"/>
        <w:rPr>
          <w:rFonts w:ascii="Calibri" w:hAnsi="Calibri" w:cs="Calibri"/>
          <w:sz w:val="20"/>
          <w:szCs w:val="20"/>
          <w:lang w:val="en-US"/>
        </w:rPr>
      </w:pPr>
      <w:r w:rsidRPr="002A2ECF">
        <w:rPr>
          <w:rFonts w:ascii="Calibri" w:hAnsi="Calibri" w:cs="Calibri"/>
          <w:sz w:val="20"/>
          <w:szCs w:val="20"/>
          <w:lang w:val="en-US"/>
        </w:rPr>
        <w:t xml:space="preserve">7. </w:t>
      </w:r>
      <w:r w:rsidRPr="002A2ECF">
        <w:rPr>
          <w:rFonts w:ascii="Calibri" w:hAnsi="Calibri" w:cs="Calibri"/>
          <w:sz w:val="20"/>
          <w:szCs w:val="20"/>
          <w:lang w:val="en-US"/>
        </w:rPr>
        <w:tab/>
        <w:t>Bailey MA, Grabe M, Devor DC. Characterization of the PCMBS-dependent modification of KCa3.1 channel gating. J Gen Physiol. 2010;136: 367–387. doi:10.1085/jgp.201010430</w:t>
      </w:r>
    </w:p>
    <w:p w:rsidR="00706AFC" w:rsidRPr="002A2ECF" w:rsidRDefault="00706AFC" w:rsidP="002A2ECF">
      <w:pPr>
        <w:pStyle w:val="Literaturverzeichnis"/>
        <w:jc w:val="both"/>
        <w:rPr>
          <w:rFonts w:ascii="Calibri" w:hAnsi="Calibri" w:cs="Calibri"/>
          <w:sz w:val="20"/>
          <w:szCs w:val="20"/>
          <w:lang w:val="en-US"/>
        </w:rPr>
      </w:pPr>
      <w:r w:rsidRPr="002A2ECF">
        <w:rPr>
          <w:rFonts w:ascii="Calibri" w:hAnsi="Calibri" w:cs="Calibri"/>
          <w:sz w:val="20"/>
          <w:szCs w:val="20"/>
          <w:lang w:val="en-US"/>
        </w:rPr>
        <w:t xml:space="preserve">8. </w:t>
      </w:r>
      <w:r w:rsidRPr="002A2ECF">
        <w:rPr>
          <w:rFonts w:ascii="Calibri" w:hAnsi="Calibri" w:cs="Calibri"/>
          <w:sz w:val="20"/>
          <w:szCs w:val="20"/>
          <w:lang w:val="en-US"/>
        </w:rPr>
        <w:tab/>
        <w:t>de Santiago JA, Nehrke K, Arreola J. Quantitative analysis of the voltage-dependent gating of mouse parotid ClC-2 chloride channel. J Gen Physiol. 2005;126: 591–603. doi:10.1085/jgp.200509310</w:t>
      </w:r>
    </w:p>
    <w:p w:rsidR="00706AFC" w:rsidRPr="002A2ECF" w:rsidRDefault="00706AFC" w:rsidP="002A2ECF">
      <w:pPr>
        <w:pStyle w:val="Literaturverzeichnis"/>
        <w:jc w:val="both"/>
        <w:rPr>
          <w:rFonts w:ascii="Calibri" w:hAnsi="Calibri" w:cs="Calibri"/>
          <w:sz w:val="20"/>
          <w:szCs w:val="20"/>
        </w:rPr>
      </w:pPr>
      <w:r w:rsidRPr="002A2ECF">
        <w:rPr>
          <w:rFonts w:ascii="Calibri" w:hAnsi="Calibri" w:cs="Calibri"/>
          <w:sz w:val="20"/>
          <w:szCs w:val="20"/>
          <w:lang w:val="en-US"/>
        </w:rPr>
        <w:t xml:space="preserve">9. </w:t>
      </w:r>
      <w:r w:rsidRPr="002A2ECF">
        <w:rPr>
          <w:rFonts w:ascii="Calibri" w:hAnsi="Calibri" w:cs="Calibri"/>
          <w:sz w:val="20"/>
          <w:szCs w:val="20"/>
          <w:lang w:val="en-US"/>
        </w:rPr>
        <w:tab/>
        <w:t xml:space="preserve">Fomina AF, Fanger CM, Kozak JA, Cahalan MD. Single Channel Properties and Regulated Expression of Ca2+ Release-Activated Ca2+ (Crac) Channels in Human T Cells. </w:t>
      </w:r>
      <w:r w:rsidR="00BC696D">
        <w:rPr>
          <w:rFonts w:ascii="Calibri" w:hAnsi="Calibri" w:cs="Calibri"/>
          <w:sz w:val="20"/>
          <w:szCs w:val="20"/>
        </w:rPr>
        <w:t xml:space="preserve">J </w:t>
      </w:r>
      <w:proofErr w:type="spellStart"/>
      <w:r w:rsidR="00BC696D">
        <w:rPr>
          <w:rFonts w:ascii="Calibri" w:hAnsi="Calibri" w:cs="Calibri"/>
          <w:sz w:val="20"/>
          <w:szCs w:val="20"/>
        </w:rPr>
        <w:t>Cell</w:t>
      </w:r>
      <w:proofErr w:type="spellEnd"/>
      <w:r w:rsidR="00BC696D">
        <w:rPr>
          <w:rFonts w:ascii="Calibri" w:hAnsi="Calibri" w:cs="Calibri"/>
          <w:sz w:val="20"/>
          <w:szCs w:val="20"/>
        </w:rPr>
        <w:t xml:space="preserve"> Biol</w:t>
      </w:r>
      <w:bookmarkStart w:id="1" w:name="_GoBack"/>
      <w:bookmarkEnd w:id="1"/>
      <w:r w:rsidRPr="002A2ECF">
        <w:rPr>
          <w:rFonts w:ascii="Calibri" w:hAnsi="Calibri" w:cs="Calibri"/>
          <w:sz w:val="20"/>
          <w:szCs w:val="20"/>
        </w:rPr>
        <w:t>. 2000;150: 1435–1444. doi:10.1083/jcb.150.6.1435</w:t>
      </w:r>
    </w:p>
    <w:p w:rsidR="00B349F7" w:rsidRDefault="00B349F7" w:rsidP="002A2ECF">
      <w:pPr>
        <w:spacing w:after="200" w:line="276" w:lineRule="auto"/>
        <w:jc w:val="both"/>
        <w:rPr>
          <w:rFonts w:ascii="Calibri" w:eastAsia="Calibri" w:hAnsi="Calibri" w:cs="Times New Roman"/>
          <w:b/>
          <w:sz w:val="18"/>
          <w:lang w:val="en-US"/>
        </w:rPr>
      </w:pPr>
      <w:r w:rsidRPr="002A2ECF">
        <w:rPr>
          <w:rFonts w:ascii="Calibri" w:eastAsia="Calibri" w:hAnsi="Calibri" w:cs="Times New Roman"/>
          <w:b/>
          <w:sz w:val="20"/>
          <w:szCs w:val="20"/>
          <w:lang w:val="en-US"/>
        </w:rPr>
        <w:fldChar w:fldCharType="end"/>
      </w:r>
    </w:p>
    <w:p w:rsidR="008505CA" w:rsidRPr="00B349F7" w:rsidRDefault="008505CA" w:rsidP="00B349F7">
      <w:pPr>
        <w:spacing w:after="200" w:line="276" w:lineRule="auto"/>
        <w:rPr>
          <w:rFonts w:ascii="Calibri" w:eastAsia="Calibri" w:hAnsi="Calibri" w:cs="Times New Roman"/>
          <w:b/>
          <w:sz w:val="18"/>
          <w:lang w:val="en-US"/>
        </w:rPr>
      </w:pPr>
    </w:p>
    <w:sectPr w:rsidR="008505CA" w:rsidRPr="00B349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F7"/>
    <w:rsid w:val="00075A4B"/>
    <w:rsid w:val="001F7ECB"/>
    <w:rsid w:val="002A2ECF"/>
    <w:rsid w:val="004F77E2"/>
    <w:rsid w:val="00533FAA"/>
    <w:rsid w:val="006C3A46"/>
    <w:rsid w:val="00706AFC"/>
    <w:rsid w:val="008505CA"/>
    <w:rsid w:val="009C7C04"/>
    <w:rsid w:val="00B349F7"/>
    <w:rsid w:val="00BC696D"/>
    <w:rsid w:val="00CA473D"/>
    <w:rsid w:val="00CB38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EB8D"/>
  <w15:chartTrackingRefBased/>
  <w15:docId w15:val="{4FE6361B-7D67-4DDD-88B2-1C088435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49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B349F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3789</Words>
  <Characters>23877</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Langthaler, Sonja</dc:creator>
  <cp:keywords/>
  <dc:description/>
  <cp:lastModifiedBy>Langthaler, Sonja</cp:lastModifiedBy>
  <cp:revision>6</cp:revision>
  <dcterms:created xsi:type="dcterms:W3CDTF">2021-05-21T15:20:00Z</dcterms:created>
  <dcterms:modified xsi:type="dcterms:W3CDTF">2021-05-26T08:20:00Z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id="vSBSbzTG"/&gt;&lt;style id="http://www.zotero.org/styles/plos-computational-biology" hasBibliography="1" bibliographyStyleHasBeenSet="1"/&gt;&lt;prefs&gt;&lt;pref name="fieldType" value="Field"/&gt;&lt;/prefs&gt;&lt;/data&gt;</vt:lpwstr>
  </property>
</Properties>
</file>