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C656" w14:textId="704AB160" w:rsidR="002F0B82" w:rsidRPr="00F822C4" w:rsidRDefault="00D643A9" w:rsidP="00703A29">
      <w:pPr>
        <w:pStyle w:val="T1"/>
        <w:spacing w:before="0"/>
        <w:rPr>
          <w:u w:val="single"/>
        </w:rPr>
      </w:pPr>
      <w:r w:rsidRPr="00F822C4">
        <w:rPr>
          <w:u w:val="single"/>
        </w:rPr>
        <w:t xml:space="preserve">Supplementary information file </w:t>
      </w:r>
      <w:r w:rsidR="00972659">
        <w:rPr>
          <w:u w:val="single"/>
        </w:rPr>
        <w:t>3</w:t>
      </w:r>
      <w:bookmarkStart w:id="0" w:name="_GoBack"/>
      <w:bookmarkEnd w:id="0"/>
      <w:r w:rsidR="00F822C4" w:rsidRPr="00F822C4">
        <w:rPr>
          <w:u w:val="single"/>
        </w:rPr>
        <w:t>: Sensitivity analysis</w:t>
      </w:r>
    </w:p>
    <w:p w14:paraId="372398F3" w14:textId="77777777" w:rsidR="002F0B82" w:rsidRDefault="002F0B82" w:rsidP="002F0B82">
      <w:pPr>
        <w:pStyle w:val="T2"/>
      </w:pPr>
      <w:r>
        <w:t>Sensitivity analysis</w:t>
      </w:r>
    </w:p>
    <w:p w14:paraId="453F47D2" w14:textId="5A6DE51F" w:rsidR="002F0B82" w:rsidRDefault="002F0B82" w:rsidP="002F0B82">
      <w:pPr>
        <w:pStyle w:val="Custom"/>
      </w:pPr>
      <w:r>
        <w:t xml:space="preserve">As the viral clearance </w:t>
      </w:r>
      <w:r>
        <w:rPr>
          <w:i/>
        </w:rPr>
        <w:t xml:space="preserve">c </w:t>
      </w:r>
      <w:r>
        <w:t xml:space="preserve">and the </w:t>
      </w:r>
      <w:r w:rsidR="00601BB1">
        <w:t xml:space="preserve">fraction of infectious </w:t>
      </w:r>
      <w:proofErr w:type="gramStart"/>
      <w:r w:rsidR="00601BB1">
        <w:t>viruses</w:t>
      </w:r>
      <w:proofErr w:type="gramEnd"/>
      <w:r>
        <w:t xml:space="preserve"> </w:t>
      </w:r>
      <w:r w:rsidR="00443209">
        <w:rPr>
          <w:i/>
        </w:rPr>
        <w:t>µ</w:t>
      </w:r>
      <w:r>
        <w:rPr>
          <w:i/>
        </w:rPr>
        <w:t xml:space="preserve"> </w:t>
      </w:r>
      <w:r>
        <w:t xml:space="preserve">could not be estimated from the data, parameters had to be fixed. However, the values at which those parameters </w:t>
      </w:r>
      <w:proofErr w:type="gramStart"/>
      <w:r>
        <w:t>should be fixed</w:t>
      </w:r>
      <w:proofErr w:type="gramEnd"/>
      <w:r>
        <w:t xml:space="preserve"> remains unknown. Thus, we explored </w:t>
      </w:r>
      <w:proofErr w:type="gramStart"/>
      <w:r>
        <w:t>9</w:t>
      </w:r>
      <w:proofErr w:type="gramEnd"/>
      <w:r>
        <w:t xml:space="preserve"> models resulting from the combination of 3 values for </w:t>
      </w:r>
      <w:r>
        <w:rPr>
          <w:i/>
        </w:rPr>
        <w:t xml:space="preserve">c </w:t>
      </w:r>
      <w:r>
        <w:t xml:space="preserve">and </w:t>
      </w:r>
      <w:r w:rsidR="00443209">
        <w:rPr>
          <w:i/>
        </w:rPr>
        <w:t>µ</w:t>
      </w:r>
      <w:r>
        <w:rPr>
          <w:i/>
        </w:rPr>
        <w:t xml:space="preserve"> </w:t>
      </w:r>
      <w:r>
        <w:t>i.e. {5, 10, 20 d</w:t>
      </w:r>
      <w:r>
        <w:rPr>
          <w:vertAlign w:val="superscript"/>
        </w:rPr>
        <w:t>-1</w:t>
      </w:r>
      <w:r w:rsidR="00BC15B8">
        <w:t>} and {</w:t>
      </w:r>
      <w:r w:rsidR="00443209">
        <w:t>10</w:t>
      </w:r>
      <w:r w:rsidR="00443209">
        <w:rPr>
          <w:vertAlign w:val="superscript"/>
        </w:rPr>
        <w:t>-</w:t>
      </w:r>
      <w:r w:rsidR="008F5D4F">
        <w:rPr>
          <w:vertAlign w:val="superscript"/>
        </w:rPr>
        <w:t>5</w:t>
      </w:r>
      <w:r>
        <w:t xml:space="preserve">, </w:t>
      </w:r>
      <w:r w:rsidR="00443209">
        <w:t>10</w:t>
      </w:r>
      <w:r w:rsidR="008F5D4F">
        <w:rPr>
          <w:vertAlign w:val="superscript"/>
        </w:rPr>
        <w:t>-4</w:t>
      </w:r>
      <w:r>
        <w:t xml:space="preserve">, </w:t>
      </w:r>
      <w:r w:rsidR="00443209">
        <w:t>10</w:t>
      </w:r>
      <w:r w:rsidR="008F5D4F">
        <w:rPr>
          <w:vertAlign w:val="superscript"/>
        </w:rPr>
        <w:t>-3</w:t>
      </w:r>
      <w:r w:rsidR="00717FB0">
        <w:t xml:space="preserve">} respectively. </w:t>
      </w:r>
      <w:r w:rsidR="00654B66">
        <w:t xml:space="preserve">One can calculate the weight associated to each candidate model based on the BIC and compute the averaged parameter values </w:t>
      </w:r>
      <w:r w:rsidR="00BC15B8">
        <w:t xml:space="preserve">using model averaging (MA, see </w:t>
      </w:r>
      <w:r w:rsidR="00093444">
        <w:fldChar w:fldCharType="begin"/>
      </w:r>
      <w:r w:rsidR="00093444">
        <w:instrText xml:space="preserve"> ADDIN ZOTERO_ITEM CSL_CITATION {"citationID":"L3VbF5iA","properties":{"formattedCitation":"(Gon\\uc0\\u231{}alves et al. 2020)","plainCitation":"(Gonçalves et al. 2020)","noteIndex":0},"citationItems":[{"id":870,"uris":["http://zotero.org/users/2341497/items/VVIHH222"],"uri":["http://zotero.org/users/2341497/items/VVIHH222"],"itemData":{"id":870,"type":"article-journal","container-title":"The AAPS Journal","DOI":"10.1208/s12248-020-0426-7","ISSN":"1550-7416","issue":"2","journalAbbreviation":"AAPS J","language":"en","page":"48","source":"DOI.org (Crossref)","title":"Model Averaging in Viral Dynamic Models","volume":"22","author":[{"family":"Gonçalves","given":"Antonio"},{"family":"Mentré","given":"France"},{"family":"Lemenuel-Diot","given":"Annabelle"},{"family":"Guedj","given":"Jérémie"}],"issued":{"date-parts":[["2020",3]]}}}],"schema":"https://github.com/citation-style-language/schema/raw/master/csl-citation.json"} </w:instrText>
      </w:r>
      <w:r w:rsidR="00093444">
        <w:fldChar w:fldCharType="separate"/>
      </w:r>
      <w:r w:rsidR="00093444" w:rsidRPr="00093444">
        <w:rPr>
          <w:rFonts w:cs="Times New Roman"/>
          <w:szCs w:val="24"/>
        </w:rPr>
        <w:t>Gonçalves et al. 2020)</w:t>
      </w:r>
      <w:r w:rsidR="00093444">
        <w:fldChar w:fldCharType="end"/>
      </w:r>
      <w:r w:rsidR="00654B66">
        <w:t>. Bayesian information criteria associated to each candidate model</w:t>
      </w:r>
      <w:r w:rsidR="007D0AC3">
        <w:t xml:space="preserve"> are provided in Table A</w:t>
      </w:r>
      <w:r w:rsidR="00654B66">
        <w:t xml:space="preserve">. Model parameter </w:t>
      </w:r>
      <w:r w:rsidR="00BC15B8">
        <w:t xml:space="preserve">obtained for each candidate model and using MA are provided </w:t>
      </w:r>
      <w:r w:rsidR="007D0AC3">
        <w:t>in Table B and C</w:t>
      </w:r>
      <w:r w:rsidR="00654B66">
        <w:t xml:space="preserve">. </w:t>
      </w:r>
    </w:p>
    <w:p w14:paraId="658627F6" w14:textId="481EBE30" w:rsidR="00994F18" w:rsidRPr="00C03C95" w:rsidRDefault="00994F18" w:rsidP="002F0B82">
      <w:pPr>
        <w:pStyle w:val="Custom"/>
      </w:pPr>
      <w:r>
        <w:t>Overall, mo</w:t>
      </w:r>
      <w:r w:rsidR="00F822C4">
        <w:t xml:space="preserve">dels showed close BIC within a </w:t>
      </w:r>
      <w:proofErr w:type="gramStart"/>
      <w:r w:rsidR="00F822C4">
        <w:t>5</w:t>
      </w:r>
      <w:r>
        <w:t xml:space="preserve"> point</w:t>
      </w:r>
      <w:proofErr w:type="gramEnd"/>
      <w:r>
        <w:t xml:space="preserve"> range and were barely distinguishable. </w:t>
      </w:r>
      <w:r w:rsidR="00EA733F">
        <w:t>Parameters estimates are mo</w:t>
      </w:r>
      <w:r w:rsidR="00C03C95">
        <w:t>stly sensitive to the value of µ</w:t>
      </w:r>
      <w:r w:rsidR="00EA733F">
        <w:t xml:space="preserve">. Indeed, both infectivity rates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EA733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C03C95">
        <w:t xml:space="preserve"> decreased with µ</w:t>
      </w:r>
      <w:r w:rsidR="00EA733F">
        <w:t xml:space="preserve"> increasing. </w:t>
      </w:r>
      <w:r w:rsidR="00C03C95">
        <w:t>However, all models gave similar R</w:t>
      </w:r>
      <w:r w:rsidR="00C03C95">
        <w:rPr>
          <w:vertAlign w:val="subscript"/>
        </w:rPr>
        <w:t xml:space="preserve">0 </w:t>
      </w:r>
      <w:r w:rsidR="00C03C95">
        <w:t xml:space="preserve">~6 and 4 </w:t>
      </w:r>
      <w:proofErr w:type="gramStart"/>
      <w:r w:rsidR="00C03C95">
        <w:t>for  nasopharynx</w:t>
      </w:r>
      <w:proofErr w:type="gramEnd"/>
      <w:r w:rsidR="00C03C95">
        <w:t xml:space="preserve"> and trachea, respectively.</w:t>
      </w:r>
    </w:p>
    <w:p w14:paraId="27B32A04" w14:textId="0CD6A43D" w:rsidR="002F0B82" w:rsidRDefault="002F0B82" w:rsidP="002F0B82">
      <w:pPr>
        <w:pStyle w:val="TabFig"/>
        <w:rPr>
          <w:u w:val="none"/>
        </w:rPr>
      </w:pPr>
      <w:r>
        <w:rPr>
          <w:rStyle w:val="TabFigCar"/>
          <w:b/>
        </w:rPr>
        <w:t xml:space="preserve">Table </w:t>
      </w:r>
      <w:r w:rsidR="007D0AC3">
        <w:rPr>
          <w:rStyle w:val="TabFigCar"/>
          <w:b/>
        </w:rPr>
        <w:t>A</w:t>
      </w:r>
      <w:r w:rsidRPr="003A7E6B">
        <w:rPr>
          <w:rStyle w:val="TabFigCar"/>
          <w:b/>
        </w:rPr>
        <w:t>:</w:t>
      </w:r>
      <w:r w:rsidRPr="003A7E6B">
        <w:rPr>
          <w:u w:val="none"/>
        </w:rPr>
        <w:t xml:space="preserve"> Bayesian information criteria of </w:t>
      </w:r>
      <w:r>
        <w:rPr>
          <w:u w:val="none"/>
        </w:rPr>
        <w:t>models with different viral clearance c and eclipse phase rate k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0B82" w14:paraId="79B51C76" w14:textId="77777777" w:rsidTr="007C3C87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FB66B" w14:textId="0692C1EE" w:rsidR="002F0B82" w:rsidRPr="00BC15B8" w:rsidRDefault="00BC15B8" w:rsidP="007C3C87">
            <w:pPr>
              <w:pStyle w:val="Custom"/>
              <w:spacing w:before="120" w:after="120" w:line="240" w:lineRule="auto"/>
              <w:jc w:val="center"/>
              <w:rPr>
                <w:b/>
              </w:rPr>
            </w:pPr>
            <w:r w:rsidRPr="00BC15B8">
              <w:rPr>
                <w:b/>
              </w:rPr>
              <w:t>BIC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EDFB" w14:textId="77777777" w:rsidR="002F0B82" w:rsidRPr="007904BA" w:rsidRDefault="002F0B82" w:rsidP="007C3C87">
            <w:pPr>
              <w:pStyle w:val="Custom"/>
              <w:spacing w:before="120" w:after="120" w:line="240" w:lineRule="auto"/>
              <w:jc w:val="center"/>
              <w:rPr>
                <w:b/>
                <w:vertAlign w:val="superscript"/>
              </w:rPr>
            </w:pPr>
            <w:r w:rsidRPr="007904BA">
              <w:rPr>
                <w:b/>
              </w:rPr>
              <w:t>c = 5 d</w:t>
            </w:r>
            <w:r w:rsidRPr="007904BA">
              <w:rPr>
                <w:b/>
                <w:vertAlign w:val="superscript"/>
              </w:rPr>
              <w:t>-1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7781F" w14:textId="77777777" w:rsidR="002F0B82" w:rsidRPr="007904BA" w:rsidRDefault="002F0B82" w:rsidP="007C3C87">
            <w:pPr>
              <w:pStyle w:val="Custom"/>
              <w:spacing w:before="120" w:after="120" w:line="240" w:lineRule="auto"/>
              <w:jc w:val="center"/>
              <w:rPr>
                <w:b/>
                <w:vertAlign w:val="superscript"/>
              </w:rPr>
            </w:pPr>
            <w:r w:rsidRPr="007904BA">
              <w:rPr>
                <w:b/>
              </w:rPr>
              <w:t xml:space="preserve">c </w:t>
            </w:r>
            <w:r>
              <w:rPr>
                <w:b/>
              </w:rPr>
              <w:t>= 10</w:t>
            </w:r>
            <w:r w:rsidRPr="007904BA">
              <w:rPr>
                <w:b/>
              </w:rPr>
              <w:t xml:space="preserve"> d</w:t>
            </w:r>
            <w:r w:rsidRPr="007904BA">
              <w:rPr>
                <w:b/>
                <w:vertAlign w:val="superscript"/>
              </w:rPr>
              <w:t>-1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8111B" w14:textId="77777777" w:rsidR="002F0B82" w:rsidRPr="007904BA" w:rsidRDefault="002F0B82" w:rsidP="007C3C87">
            <w:pPr>
              <w:pStyle w:val="Custom"/>
              <w:spacing w:before="120" w:after="120" w:line="240" w:lineRule="auto"/>
              <w:jc w:val="center"/>
              <w:rPr>
                <w:b/>
                <w:vertAlign w:val="superscript"/>
              </w:rPr>
            </w:pPr>
            <w:r w:rsidRPr="007904BA">
              <w:rPr>
                <w:b/>
              </w:rPr>
              <w:t xml:space="preserve">c </w:t>
            </w:r>
            <w:r>
              <w:rPr>
                <w:b/>
              </w:rPr>
              <w:t>= 20</w:t>
            </w:r>
            <w:r w:rsidRPr="007904BA">
              <w:rPr>
                <w:b/>
              </w:rPr>
              <w:t xml:space="preserve"> d</w:t>
            </w:r>
            <w:r w:rsidRPr="007904BA">
              <w:rPr>
                <w:b/>
                <w:vertAlign w:val="superscript"/>
              </w:rPr>
              <w:t>-1</w:t>
            </w:r>
          </w:p>
        </w:tc>
      </w:tr>
      <w:tr w:rsidR="002F0B82" w14:paraId="6624ADA1" w14:textId="77777777" w:rsidTr="007C3C87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1CB09" w14:textId="035AD703" w:rsidR="002F0B82" w:rsidRPr="007904BA" w:rsidRDefault="00C03C95" w:rsidP="00C03C95">
            <w:pPr>
              <w:pStyle w:val="Custom"/>
              <w:spacing w:before="120" w:after="12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µ</w:t>
            </w:r>
            <w:r w:rsidR="002F0B82" w:rsidRPr="007904BA">
              <w:rPr>
                <w:b/>
              </w:rPr>
              <w:t xml:space="preserve"> = </w:t>
            </w:r>
            <w:r>
              <w:rPr>
                <w:b/>
              </w:rPr>
              <w:t>10</w:t>
            </w:r>
            <w:r w:rsidR="00ED2312">
              <w:rPr>
                <w:b/>
                <w:vertAlign w:val="superscript"/>
              </w:rPr>
              <w:t>-3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6EEF7" w14:textId="5DB8F218" w:rsidR="002F0B82" w:rsidRDefault="00237CEB" w:rsidP="007D0DAF">
            <w:pPr>
              <w:pStyle w:val="Custom"/>
              <w:spacing w:before="120" w:after="120" w:line="240" w:lineRule="auto"/>
              <w:jc w:val="center"/>
            </w:pPr>
            <w:r>
              <w:t>1252.0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A3348" w14:textId="1EDC7173" w:rsidR="002F0B82" w:rsidRDefault="00237CEB" w:rsidP="00BC15B8">
            <w:pPr>
              <w:pStyle w:val="Custom"/>
              <w:spacing w:before="120" w:after="120" w:line="240" w:lineRule="auto"/>
              <w:jc w:val="center"/>
            </w:pPr>
            <w:r>
              <w:t>1255.4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DF173" w14:textId="014D31DA" w:rsidR="002F0B82" w:rsidRDefault="00237CEB" w:rsidP="00BC15B8">
            <w:pPr>
              <w:pStyle w:val="Custom"/>
              <w:spacing w:before="120" w:after="120" w:line="240" w:lineRule="auto"/>
              <w:jc w:val="center"/>
            </w:pPr>
            <w:r>
              <w:t>1255.8</w:t>
            </w:r>
          </w:p>
        </w:tc>
      </w:tr>
      <w:tr w:rsidR="002F0B82" w14:paraId="0CCEF487" w14:textId="77777777" w:rsidTr="007C3C87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5E610" w14:textId="7CA1AB5F" w:rsidR="002F0B82" w:rsidRPr="007904BA" w:rsidRDefault="00C03C95" w:rsidP="007C3C87">
            <w:pPr>
              <w:pStyle w:val="Custom"/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µ</w:t>
            </w:r>
            <w:r w:rsidR="002F0B82" w:rsidRPr="007904BA">
              <w:rPr>
                <w:b/>
              </w:rPr>
              <w:t xml:space="preserve"> </w:t>
            </w:r>
            <w:r w:rsidR="002F0B82">
              <w:rPr>
                <w:b/>
              </w:rPr>
              <w:t xml:space="preserve">= </w:t>
            </w:r>
            <w:r>
              <w:rPr>
                <w:b/>
              </w:rPr>
              <w:t>10</w:t>
            </w:r>
            <w:r w:rsidR="00ED2312">
              <w:rPr>
                <w:b/>
                <w:vertAlign w:val="superscript"/>
              </w:rPr>
              <w:t>-4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7AEDB" w14:textId="2ADA514B" w:rsidR="002F0B82" w:rsidRDefault="00237CEB" w:rsidP="007C3C87">
            <w:pPr>
              <w:pStyle w:val="Custom"/>
              <w:spacing w:before="120" w:after="120" w:line="240" w:lineRule="auto"/>
              <w:jc w:val="center"/>
            </w:pPr>
            <w:r>
              <w:t>1252.1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BE67E" w14:textId="158E086B" w:rsidR="002F0B82" w:rsidRDefault="00237CEB" w:rsidP="007C3C87">
            <w:pPr>
              <w:pStyle w:val="Custom"/>
              <w:spacing w:before="120" w:after="120" w:line="240" w:lineRule="auto"/>
              <w:jc w:val="center"/>
            </w:pPr>
            <w:r>
              <w:t>1255.1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64EF0" w14:textId="39D7DD20" w:rsidR="002F0B82" w:rsidRDefault="00237CEB" w:rsidP="007C3C87">
            <w:pPr>
              <w:pStyle w:val="Custom"/>
              <w:spacing w:before="120" w:after="120" w:line="240" w:lineRule="auto"/>
              <w:jc w:val="center"/>
            </w:pPr>
            <w:r>
              <w:t>1255.7</w:t>
            </w:r>
          </w:p>
        </w:tc>
      </w:tr>
      <w:tr w:rsidR="002F0B82" w14:paraId="619F23D7" w14:textId="77777777" w:rsidTr="007C3C87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A061" w14:textId="475BC636" w:rsidR="002F0B82" w:rsidRPr="00C03C95" w:rsidRDefault="00C03C95" w:rsidP="00C03C95">
            <w:pPr>
              <w:pStyle w:val="Custom"/>
              <w:spacing w:before="120" w:after="12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µ</w:t>
            </w:r>
            <w:r w:rsidR="002F0B82" w:rsidRPr="007904BA">
              <w:rPr>
                <w:b/>
              </w:rPr>
              <w:t xml:space="preserve"> </w:t>
            </w:r>
            <w:r w:rsidR="00BC15B8">
              <w:rPr>
                <w:b/>
              </w:rPr>
              <w:t xml:space="preserve">= </w:t>
            </w:r>
            <w:r>
              <w:rPr>
                <w:b/>
              </w:rPr>
              <w:t>10</w:t>
            </w:r>
            <w:r w:rsidR="00ED2312">
              <w:rPr>
                <w:b/>
                <w:vertAlign w:val="superscript"/>
              </w:rPr>
              <w:t>-5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0A90F" w14:textId="4DB020A1" w:rsidR="002F0B82" w:rsidRDefault="00237CEB" w:rsidP="00BC15B8">
            <w:pPr>
              <w:pStyle w:val="Custom"/>
              <w:spacing w:before="120" w:after="120" w:line="240" w:lineRule="auto"/>
              <w:jc w:val="center"/>
            </w:pPr>
            <w:r>
              <w:t>1251.6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26A82" w14:textId="3F3485FE" w:rsidR="002F0B82" w:rsidRDefault="00237CEB" w:rsidP="00BC15B8">
            <w:pPr>
              <w:pStyle w:val="Custom"/>
              <w:spacing w:before="120" w:after="120" w:line="240" w:lineRule="auto"/>
              <w:jc w:val="center"/>
            </w:pPr>
            <w:r>
              <w:t>1254.6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CD0B3" w14:textId="3DAC00C1" w:rsidR="002F0B82" w:rsidRDefault="00237CEB" w:rsidP="007C3C87">
            <w:pPr>
              <w:pStyle w:val="Custom"/>
              <w:spacing w:before="120" w:after="120" w:line="240" w:lineRule="auto"/>
              <w:jc w:val="center"/>
            </w:pPr>
            <w:r>
              <w:t>1256.2</w:t>
            </w:r>
          </w:p>
        </w:tc>
      </w:tr>
    </w:tbl>
    <w:p w14:paraId="2810B14C" w14:textId="2E3851C5" w:rsidR="00703A29" w:rsidRDefault="00703A29"/>
    <w:p w14:paraId="21EC1FD8" w14:textId="7EF79432" w:rsidR="00703A29" w:rsidRDefault="00703A29" w:rsidP="002F0B82">
      <w:pPr>
        <w:pStyle w:val="Custom"/>
        <w:sectPr w:rsidR="00703A29" w:rsidSect="008A3C4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8847A3" w14:textId="427FB898" w:rsidR="00703A29" w:rsidRPr="00C9711F" w:rsidRDefault="00703A29" w:rsidP="00C9711F">
      <w:pPr>
        <w:pStyle w:val="TabFig"/>
        <w:rPr>
          <w:b w:val="0"/>
          <w:u w:val="none"/>
        </w:rPr>
      </w:pPr>
      <w:r>
        <w:rPr>
          <w:rStyle w:val="TabFigCar"/>
          <w:b/>
        </w:rPr>
        <w:lastRenderedPageBreak/>
        <w:t xml:space="preserve">Table </w:t>
      </w:r>
      <w:r w:rsidR="007D0AC3">
        <w:rPr>
          <w:rStyle w:val="TabFigCar"/>
          <w:b/>
        </w:rPr>
        <w:t>B</w:t>
      </w:r>
      <w:r w:rsidRPr="003A7E6B">
        <w:rPr>
          <w:rStyle w:val="TabFigCar"/>
          <w:b/>
        </w:rPr>
        <w:t>:</w:t>
      </w:r>
      <w:r w:rsidRPr="003A7E6B">
        <w:rPr>
          <w:u w:val="none"/>
        </w:rPr>
        <w:t xml:space="preserve"> </w:t>
      </w:r>
      <w:r w:rsidR="00C03C95">
        <w:rPr>
          <w:u w:val="none"/>
        </w:rPr>
        <w:t>Nasopharyngeal</w:t>
      </w:r>
      <w:r w:rsidR="00994F18">
        <w:rPr>
          <w:u w:val="none"/>
        </w:rPr>
        <w:t xml:space="preserve"> parameter values</w:t>
      </w:r>
      <w:r w:rsidR="009A77AC">
        <w:rPr>
          <w:u w:val="none"/>
        </w:rPr>
        <w:t xml:space="preserve"> </w:t>
      </w:r>
      <w:r w:rsidR="009A77AC" w:rsidRPr="009A77AC">
        <w:rPr>
          <w:rFonts w:cs="Times New Roman"/>
          <w:u w:val="none"/>
        </w:rPr>
        <w:t>and associated 95% confidence interval [</w:t>
      </w:r>
      <w:proofErr w:type="gramStart"/>
      <w:r w:rsidR="009A77AC" w:rsidRPr="009A77AC">
        <w:rPr>
          <w:rFonts w:cs="Times New Roman"/>
          <w:u w:val="none"/>
        </w:rPr>
        <w:t>CI</w:t>
      </w:r>
      <w:r w:rsidR="009A77AC" w:rsidRPr="009A77AC">
        <w:rPr>
          <w:rFonts w:cs="Times New Roman"/>
          <w:u w:val="none"/>
          <w:vertAlign w:val="subscript"/>
        </w:rPr>
        <w:t>95%</w:t>
      </w:r>
      <w:proofErr w:type="gramEnd"/>
      <w:r w:rsidR="009A77AC">
        <w:rPr>
          <w:rFonts w:cs="Times New Roman"/>
          <w:u w:val="none"/>
        </w:rPr>
        <w:t>]</w:t>
      </w:r>
      <w:r w:rsidRPr="009A77AC">
        <w:rPr>
          <w:u w:val="none"/>
        </w:rPr>
        <w:t xml:space="preserve"> </w:t>
      </w:r>
      <w:r w:rsidR="00994F18" w:rsidRPr="009A77AC">
        <w:rPr>
          <w:u w:val="none"/>
        </w:rPr>
        <w:t>across</w:t>
      </w:r>
      <w:r w:rsidR="00994F18">
        <w:rPr>
          <w:u w:val="none"/>
        </w:rPr>
        <w:t xml:space="preserve"> the models and using model averaging. </w:t>
      </w:r>
      <w:r w:rsidR="00994F18" w:rsidRPr="00994F18">
        <w:rPr>
          <w:b w:val="0"/>
          <w:u w:val="none"/>
        </w:rPr>
        <w:t>Models resulted from the</w:t>
      </w:r>
      <w:r w:rsidR="00994F18">
        <w:rPr>
          <w:u w:val="none"/>
        </w:rPr>
        <w:t xml:space="preserve"> </w:t>
      </w:r>
      <w:r w:rsidR="00994F18" w:rsidRPr="00994F18">
        <w:rPr>
          <w:b w:val="0"/>
          <w:u w:val="none"/>
        </w:rPr>
        <w:t xml:space="preserve">combination of 3 values for </w:t>
      </w:r>
      <w:r w:rsidR="00994F18" w:rsidRPr="00994F18">
        <w:rPr>
          <w:b w:val="0"/>
          <w:i/>
          <w:u w:val="none"/>
        </w:rPr>
        <w:t xml:space="preserve">c </w:t>
      </w:r>
      <w:r w:rsidR="00994F18" w:rsidRPr="00994F18">
        <w:rPr>
          <w:b w:val="0"/>
          <w:u w:val="none"/>
        </w:rPr>
        <w:t>{5, 10, 20 d</w:t>
      </w:r>
      <w:r w:rsidR="00994F18" w:rsidRPr="00994F18">
        <w:rPr>
          <w:b w:val="0"/>
          <w:u w:val="none"/>
          <w:vertAlign w:val="superscript"/>
        </w:rPr>
        <w:t>-1</w:t>
      </w:r>
      <w:r w:rsidR="00C03C95">
        <w:rPr>
          <w:b w:val="0"/>
          <w:u w:val="none"/>
        </w:rPr>
        <w:t>} and µ</w:t>
      </w:r>
      <w:r w:rsidR="00994F18" w:rsidRPr="00994F18">
        <w:rPr>
          <w:b w:val="0"/>
          <w:u w:val="none"/>
        </w:rPr>
        <w:t xml:space="preserve"> {</w:t>
      </w:r>
      <w:r w:rsidR="00C03C95" w:rsidRPr="00C03C95">
        <w:rPr>
          <w:b w:val="0"/>
          <w:u w:val="none"/>
        </w:rPr>
        <w:t>10</w:t>
      </w:r>
      <w:r w:rsidR="008F5D4F">
        <w:rPr>
          <w:b w:val="0"/>
          <w:u w:val="none"/>
          <w:vertAlign w:val="superscript"/>
        </w:rPr>
        <w:t>-5</w:t>
      </w:r>
      <w:r w:rsidR="00C03C95">
        <w:rPr>
          <w:b w:val="0"/>
          <w:u w:val="none"/>
        </w:rPr>
        <w:t>, 10</w:t>
      </w:r>
      <w:r w:rsidR="008F5D4F">
        <w:rPr>
          <w:b w:val="0"/>
          <w:u w:val="none"/>
          <w:vertAlign w:val="superscript"/>
        </w:rPr>
        <w:t>-4</w:t>
      </w:r>
      <w:r w:rsidR="00C03C95">
        <w:rPr>
          <w:b w:val="0"/>
          <w:u w:val="none"/>
        </w:rPr>
        <w:t>, 10</w:t>
      </w:r>
      <w:r w:rsidR="008F5D4F">
        <w:rPr>
          <w:b w:val="0"/>
          <w:u w:val="none"/>
          <w:vertAlign w:val="superscript"/>
        </w:rPr>
        <w:t>-3</w:t>
      </w:r>
      <w:r w:rsidR="00994F18" w:rsidRPr="00994F18">
        <w:rPr>
          <w:b w:val="0"/>
          <w:u w:val="none"/>
        </w:rPr>
        <w:t>}</w:t>
      </w:r>
      <w:r w:rsidR="00994F18">
        <w:t xml:space="preserve"> </w:t>
      </w:r>
    </w:p>
    <w:tbl>
      <w:tblPr>
        <w:tblStyle w:val="TableauGrille6Couleur1"/>
        <w:tblpPr w:leftFromText="180" w:rightFromText="180" w:vertAnchor="text" w:horzAnchor="margin" w:tblpXSpec="center" w:tblpY="164"/>
        <w:tblW w:w="10516" w:type="dxa"/>
        <w:tblLayout w:type="fixed"/>
        <w:tblLook w:val="0420" w:firstRow="1" w:lastRow="0" w:firstColumn="0" w:lastColumn="0" w:noHBand="0" w:noVBand="1"/>
      </w:tblPr>
      <w:tblGrid>
        <w:gridCol w:w="716"/>
        <w:gridCol w:w="1110"/>
        <w:gridCol w:w="1738"/>
        <w:gridCol w:w="1738"/>
        <w:gridCol w:w="1738"/>
        <w:gridCol w:w="1738"/>
        <w:gridCol w:w="1738"/>
      </w:tblGrid>
      <w:tr w:rsidR="00C03C95" w:rsidRPr="00C03C95" w14:paraId="7653964F" w14:textId="77777777" w:rsidTr="0086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716" w:type="dxa"/>
            <w:vAlign w:val="center"/>
            <w:hideMark/>
          </w:tcPr>
          <w:p w14:paraId="10EE98CB" w14:textId="77777777" w:rsidR="00C03C95" w:rsidRPr="00EA733F" w:rsidRDefault="00C03C95" w:rsidP="00C03C95">
            <w:pPr>
              <w:spacing w:line="276" w:lineRule="auto"/>
              <w:jc w:val="center"/>
              <w:rPr>
                <w:rFonts w:cs="Times New Roman"/>
                <w:b w:val="0"/>
                <w:sz w:val="20"/>
              </w:rPr>
            </w:pPr>
            <w:r w:rsidRPr="00EA733F">
              <w:rPr>
                <w:rFonts w:cs="Times New Roman"/>
                <w:sz w:val="20"/>
              </w:rPr>
              <w:t>c (d</w:t>
            </w:r>
            <w:r w:rsidRPr="00EA733F">
              <w:rPr>
                <w:rFonts w:cs="Times New Roman"/>
                <w:sz w:val="20"/>
                <w:vertAlign w:val="superscript"/>
              </w:rPr>
              <w:t>-1</w:t>
            </w:r>
            <w:r w:rsidRPr="00EA733F">
              <w:rPr>
                <w:rFonts w:cs="Times New Roman"/>
                <w:sz w:val="20"/>
              </w:rPr>
              <w:t>)</w:t>
            </w:r>
          </w:p>
        </w:tc>
        <w:tc>
          <w:tcPr>
            <w:tcW w:w="1110" w:type="dxa"/>
            <w:vAlign w:val="center"/>
            <w:hideMark/>
          </w:tcPr>
          <w:p w14:paraId="2C687053" w14:textId="03097BA7" w:rsidR="00C03C95" w:rsidRPr="00EA733F" w:rsidRDefault="00C03C95" w:rsidP="00C03C95">
            <w:pPr>
              <w:spacing w:line="276" w:lineRule="auto"/>
              <w:jc w:val="center"/>
              <w:rPr>
                <w:rFonts w:cs="Times New Roman"/>
                <w:b w:val="0"/>
                <w:sz w:val="20"/>
              </w:rPr>
            </w:pPr>
            <w:r>
              <w:rPr>
                <w:rFonts w:cs="Times New Roman"/>
                <w:sz w:val="20"/>
              </w:rPr>
              <w:t>µ</w:t>
            </w:r>
          </w:p>
        </w:tc>
        <w:tc>
          <w:tcPr>
            <w:tcW w:w="1738" w:type="dxa"/>
            <w:vAlign w:val="center"/>
            <w:hideMark/>
          </w:tcPr>
          <w:p w14:paraId="3DA9EC0E" w14:textId="18516968" w:rsidR="00C03C95" w:rsidRPr="00EA733F" w:rsidRDefault="00557780" w:rsidP="00C03C95">
            <w:pPr>
              <w:spacing w:line="276" w:lineRule="auto"/>
              <w:jc w:val="center"/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fr-FR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lang w:val="fr-FR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lang w:val="fr-FR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-3</m:t>
                  </m:r>
                </m:sup>
              </m:sSup>
            </m:oMath>
            <w:r w:rsidR="00C03C95" w:rsidRPr="00EA733F"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  <w:t xml:space="preserve"> </w:t>
            </w:r>
            <w:r w:rsidR="00C03C95" w:rsidRPr="00EA733F">
              <w:rPr>
                <w:rFonts w:cs="Times New Roman"/>
                <w:sz w:val="20"/>
                <w:lang w:val="fr-FR"/>
              </w:rPr>
              <w:t>(mL.copies</w:t>
            </w:r>
            <w:r w:rsidR="00C03C95"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 w:rsidR="00C03C95" w:rsidRPr="00EA733F">
              <w:rPr>
                <w:rFonts w:cs="Times New Roman"/>
                <w:sz w:val="20"/>
                <w:lang w:val="fr-FR"/>
              </w:rPr>
              <w:t>.d</w:t>
            </w:r>
            <w:r w:rsidR="00C03C95"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 w:rsidR="00C03C95" w:rsidRPr="00EA733F"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  <w:hideMark/>
          </w:tcPr>
          <w:p w14:paraId="2FA64A74" w14:textId="2919127A" w:rsidR="00C03C95" w:rsidRPr="00C9711F" w:rsidRDefault="00C03C95" w:rsidP="00C03C95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w:r w:rsidRPr="00C9711F">
              <w:rPr>
                <w:rFonts w:cs="Times New Roman"/>
                <w:sz w:val="20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fr-FR"/>
                    </w:rPr>
                    <m:t>p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lang w:val="fr-FR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fr-FR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fr-FR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lang w:val="fr-FR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lang w:val="fr-FR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4</m:t>
                  </m:r>
                </m:sup>
              </m:sSup>
            </m:oMath>
            <w:r w:rsidRPr="00C9711F"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  <w:t xml:space="preserve"> </w:t>
            </w:r>
            <w:r w:rsidRPr="00C9711F">
              <w:rPr>
                <w:rFonts w:cs="Times New Roman"/>
                <w:sz w:val="20"/>
                <w:lang w:val="fr-FR"/>
              </w:rPr>
              <w:t>[CI</w:t>
            </w:r>
            <w:r w:rsidRPr="00C9711F">
              <w:rPr>
                <w:rFonts w:cs="Times New Roman"/>
                <w:sz w:val="20"/>
                <w:vertAlign w:val="subscript"/>
                <w:lang w:val="fr-FR"/>
              </w:rPr>
              <w:t>95%</w:t>
            </w:r>
            <w:r w:rsidRPr="00C9711F">
              <w:rPr>
                <w:rFonts w:cs="Times New Roman"/>
                <w:sz w:val="20"/>
                <w:lang w:val="fr-FR"/>
              </w:rPr>
              <w:t>]</w:t>
            </w:r>
          </w:p>
          <w:p w14:paraId="19336BA5" w14:textId="19831AC3" w:rsidR="00C03C95" w:rsidRPr="00C9711F" w:rsidRDefault="00C03C95" w:rsidP="00C03C95">
            <w:pPr>
              <w:spacing w:line="276" w:lineRule="auto"/>
              <w:jc w:val="center"/>
              <w:rPr>
                <w:rFonts w:cs="Times New Roman"/>
                <w:b w:val="0"/>
                <w:sz w:val="20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</w:t>
            </w:r>
            <w:r w:rsidRPr="00EA733F">
              <w:rPr>
                <w:rFonts w:cs="Times New Roman"/>
                <w:sz w:val="20"/>
                <w:lang w:val="fr-FR"/>
              </w:rPr>
              <w:t>copies.d</w:t>
            </w:r>
            <w:r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  <w:vAlign w:val="center"/>
          </w:tcPr>
          <w:p w14:paraId="06B29ABE" w14:textId="77777777" w:rsidR="00C03C95" w:rsidRPr="00C03C95" w:rsidRDefault="00C03C95" w:rsidP="00C03C95">
            <w:pPr>
              <w:spacing w:line="276" w:lineRule="auto"/>
              <w:jc w:val="center"/>
              <w:rPr>
                <w:rFonts w:eastAsiaTheme="minorEastAsia" w:cs="Times New Roman"/>
                <w:sz w:val="20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δ</m:t>
              </m:r>
            </m:oMath>
            <w:r w:rsidRPr="00C03C95">
              <w:rPr>
                <w:rFonts w:eastAsiaTheme="minorEastAsia" w:cs="Times New Roman"/>
                <w:sz w:val="20"/>
                <w:lang w:val="fr-FR"/>
              </w:rPr>
              <w:t xml:space="preserve"> [CI</w:t>
            </w:r>
            <w:r w:rsidRPr="00C03C95">
              <w:rPr>
                <w:rFonts w:eastAsiaTheme="minorEastAsia" w:cs="Times New Roman"/>
                <w:sz w:val="20"/>
                <w:vertAlign w:val="subscript"/>
                <w:lang w:val="fr-FR"/>
              </w:rPr>
              <w:t>95%</w:t>
            </w:r>
            <w:r w:rsidRPr="00C03C95">
              <w:rPr>
                <w:rFonts w:eastAsiaTheme="minorEastAsia" w:cs="Times New Roman"/>
                <w:sz w:val="20"/>
                <w:lang w:val="fr-FR"/>
              </w:rPr>
              <w:t>]</w:t>
            </w:r>
          </w:p>
          <w:p w14:paraId="19921E6F" w14:textId="0CE71DFA" w:rsidR="00C03C95" w:rsidRPr="00EA733F" w:rsidRDefault="00C03C95" w:rsidP="00C03C95">
            <w:pPr>
              <w:spacing w:line="276" w:lineRule="auto"/>
              <w:jc w:val="center"/>
              <w:rPr>
                <w:rFonts w:cs="Times New Roman"/>
                <w:sz w:val="20"/>
                <w:vertAlign w:val="superscript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</w:t>
            </w:r>
            <w:r w:rsidRPr="00EA733F">
              <w:rPr>
                <w:rFonts w:cs="Times New Roman"/>
                <w:sz w:val="20"/>
                <w:lang w:val="fr-FR"/>
              </w:rPr>
              <w:t>d</w:t>
            </w:r>
            <w:r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</w:tcPr>
          <w:p w14:paraId="286D3553" w14:textId="0A032ECF" w:rsidR="00C03C95" w:rsidRPr="00C9711F" w:rsidRDefault="00557780" w:rsidP="00C03C95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R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lang w:val="fr-F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38" w:type="dxa"/>
          </w:tcPr>
          <w:p w14:paraId="00A36D8C" w14:textId="12F215DF" w:rsidR="00C03C95" w:rsidRPr="00C03C95" w:rsidRDefault="00557780" w:rsidP="00C03C95">
            <w:pPr>
              <w:spacing w:line="276" w:lineRule="auto"/>
              <w:jc w:val="center"/>
              <w:rPr>
                <w:rFonts w:eastAsiaTheme="minorEastAsia" w:cs="Times New Roman"/>
                <w:sz w:val="20"/>
                <w:lang w:val="fr-F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 w:val="0"/>
                      <w:bCs w:val="0"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</w:rPr>
                    <m:t>N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</w:rPr>
                    <m:t>N</m:t>
                  </m:r>
                </m:sub>
              </m:sSub>
            </m:oMath>
            <w:r w:rsidR="00C03C95" w:rsidRPr="00C03C95">
              <w:rPr>
                <w:rFonts w:eastAsiaTheme="minorEastAsia" w:cs="Times New Roman"/>
                <w:sz w:val="20"/>
                <w:lang w:val="fr-FR"/>
              </w:rPr>
              <w:t xml:space="preserve"> [CI</w:t>
            </w:r>
            <w:r w:rsidR="00C03C95" w:rsidRPr="00C03C95">
              <w:rPr>
                <w:rFonts w:eastAsiaTheme="minorEastAsia" w:cs="Times New Roman"/>
                <w:sz w:val="20"/>
                <w:vertAlign w:val="subscript"/>
                <w:lang w:val="fr-FR"/>
              </w:rPr>
              <w:t>95%</w:t>
            </w:r>
            <w:r w:rsidR="00C03C95" w:rsidRPr="00C03C95">
              <w:rPr>
                <w:rFonts w:eastAsiaTheme="minorEastAsia" w:cs="Times New Roman"/>
                <w:sz w:val="20"/>
                <w:lang w:val="fr-FR"/>
              </w:rPr>
              <w:t>]</w:t>
            </w:r>
          </w:p>
          <w:p w14:paraId="18AE56C6" w14:textId="42DB77EE" w:rsidR="00C03C95" w:rsidRPr="00C03C95" w:rsidRDefault="00C03C95" w:rsidP="00C03C95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(copies)</w:t>
            </w:r>
          </w:p>
        </w:tc>
      </w:tr>
      <w:tr w:rsidR="008B58A5" w:rsidRPr="00654B66" w14:paraId="7C4055B5" w14:textId="77777777" w:rsidTr="0015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7FBA41F1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EA733F">
              <w:rPr>
                <w:rFonts w:cs="Times New Roman"/>
                <w:b/>
                <w:sz w:val="20"/>
                <w:lang w:val="fr-FR"/>
              </w:rPr>
              <w:t>5</w:t>
            </w:r>
          </w:p>
        </w:tc>
        <w:tc>
          <w:tcPr>
            <w:tcW w:w="1110" w:type="dxa"/>
            <w:vAlign w:val="center"/>
            <w:hideMark/>
          </w:tcPr>
          <w:p w14:paraId="2780B476" w14:textId="76E644A9" w:rsidR="008B58A5" w:rsidRPr="00C03C95" w:rsidRDefault="008B58A5" w:rsidP="00237CEB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C03C95">
              <w:rPr>
                <w:b/>
                <w:sz w:val="20"/>
                <w:lang w:val="fr-FR"/>
              </w:rPr>
              <w:t>µ = 10</w:t>
            </w:r>
            <w:r w:rsidR="00237CEB">
              <w:rPr>
                <w:b/>
                <w:sz w:val="20"/>
                <w:vertAlign w:val="superscript"/>
                <w:lang w:val="fr-FR"/>
              </w:rPr>
              <w:t>-3</w:t>
            </w:r>
          </w:p>
        </w:tc>
        <w:tc>
          <w:tcPr>
            <w:tcW w:w="1738" w:type="dxa"/>
            <w:vAlign w:val="bottom"/>
          </w:tcPr>
          <w:p w14:paraId="4A85BA94" w14:textId="77777777" w:rsidR="00237CEB" w:rsidRDefault="008B58A5" w:rsidP="00237CE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0.26</w:t>
            </w:r>
          </w:p>
          <w:p w14:paraId="0F97DABA" w14:textId="0D3878FA" w:rsidR="008B58A5" w:rsidRPr="008665B9" w:rsidRDefault="008B58A5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[0.074 - 0.89]</w:t>
            </w:r>
          </w:p>
        </w:tc>
        <w:tc>
          <w:tcPr>
            <w:tcW w:w="1738" w:type="dxa"/>
            <w:vAlign w:val="bottom"/>
          </w:tcPr>
          <w:p w14:paraId="4FAECC77" w14:textId="292C3360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 [0.36 - 3.2]</w:t>
            </w:r>
          </w:p>
        </w:tc>
        <w:tc>
          <w:tcPr>
            <w:tcW w:w="1738" w:type="dxa"/>
            <w:vAlign w:val="bottom"/>
          </w:tcPr>
          <w:p w14:paraId="7FE6C239" w14:textId="1FBBAC0A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[1.4 - 2.3]</w:t>
            </w:r>
          </w:p>
        </w:tc>
        <w:tc>
          <w:tcPr>
            <w:tcW w:w="1738" w:type="dxa"/>
            <w:vAlign w:val="bottom"/>
          </w:tcPr>
          <w:p w14:paraId="52B61278" w14:textId="7DC3BE04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9.3 [1.6 - 38]</w:t>
            </w:r>
          </w:p>
        </w:tc>
        <w:tc>
          <w:tcPr>
            <w:tcW w:w="1738" w:type="dxa"/>
            <w:vAlign w:val="bottom"/>
          </w:tcPr>
          <w:p w14:paraId="22AAC352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9800</w:t>
            </w:r>
          </w:p>
          <w:p w14:paraId="2DEF78E9" w14:textId="6B792C70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[1900 - 18000]</w:t>
            </w:r>
          </w:p>
        </w:tc>
      </w:tr>
      <w:tr w:rsidR="008B58A5" w:rsidRPr="00A82DF7" w14:paraId="4940BD61" w14:textId="77777777" w:rsidTr="0015444F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4B24EAC7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</w:p>
        </w:tc>
        <w:tc>
          <w:tcPr>
            <w:tcW w:w="1110" w:type="dxa"/>
            <w:vAlign w:val="center"/>
            <w:hideMark/>
          </w:tcPr>
          <w:p w14:paraId="624FAF08" w14:textId="7DE46AD4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7C75CA1E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</w:t>
            </w:r>
          </w:p>
          <w:p w14:paraId="25FA9E79" w14:textId="16274B05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[0.73 - 4.8]</w:t>
            </w:r>
          </w:p>
        </w:tc>
        <w:tc>
          <w:tcPr>
            <w:tcW w:w="1738" w:type="dxa"/>
            <w:vAlign w:val="bottom"/>
          </w:tcPr>
          <w:p w14:paraId="1A9E5642" w14:textId="6036BF5E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[0.35 - 3.6]</w:t>
            </w:r>
          </w:p>
        </w:tc>
        <w:tc>
          <w:tcPr>
            <w:tcW w:w="1738" w:type="dxa"/>
            <w:vAlign w:val="bottom"/>
          </w:tcPr>
          <w:p w14:paraId="475FF4B3" w14:textId="2F585CE1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473B3EE2" w14:textId="6BEFF482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 [1.9 - 19]</w:t>
            </w:r>
          </w:p>
        </w:tc>
        <w:tc>
          <w:tcPr>
            <w:tcW w:w="1738" w:type="dxa"/>
            <w:vAlign w:val="bottom"/>
          </w:tcPr>
          <w:p w14:paraId="1FAF9ED8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10000</w:t>
            </w:r>
          </w:p>
          <w:p w14:paraId="46E8455C" w14:textId="3E42B1E6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[1900 - 19000]</w:t>
            </w:r>
          </w:p>
        </w:tc>
      </w:tr>
      <w:tr w:rsidR="008B58A5" w:rsidRPr="00A82DF7" w14:paraId="0AEFA1D3" w14:textId="77777777" w:rsidTr="0015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53AE20FB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A3428DB" w14:textId="52336B72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36CB01DE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  <w:p w14:paraId="1E103413" w14:textId="6F33F1AA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[5.3 - 82]</w:t>
            </w:r>
          </w:p>
        </w:tc>
        <w:tc>
          <w:tcPr>
            <w:tcW w:w="1738" w:type="dxa"/>
            <w:vAlign w:val="bottom"/>
          </w:tcPr>
          <w:p w14:paraId="6EAA808F" w14:textId="51E5C6E7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 [0.44 - 3.2]</w:t>
            </w:r>
          </w:p>
        </w:tc>
        <w:tc>
          <w:tcPr>
            <w:tcW w:w="1738" w:type="dxa"/>
            <w:vAlign w:val="bottom"/>
          </w:tcPr>
          <w:p w14:paraId="1E12EEFA" w14:textId="770C5EA3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5766BE91" w14:textId="30978170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7.6 [1.8 - 26]</w:t>
            </w:r>
          </w:p>
        </w:tc>
        <w:tc>
          <w:tcPr>
            <w:tcW w:w="1738" w:type="dxa"/>
            <w:vAlign w:val="bottom"/>
          </w:tcPr>
          <w:p w14:paraId="1D9218CE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9700</w:t>
            </w:r>
          </w:p>
          <w:p w14:paraId="1BA9A109" w14:textId="456061BB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[2700 - 16000]</w:t>
            </w:r>
          </w:p>
        </w:tc>
      </w:tr>
      <w:tr w:rsidR="008B58A5" w:rsidRPr="00A82DF7" w14:paraId="23122A8A" w14:textId="77777777" w:rsidTr="0015444F">
        <w:trPr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261FC191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10</w:t>
            </w:r>
          </w:p>
        </w:tc>
        <w:tc>
          <w:tcPr>
            <w:tcW w:w="1110" w:type="dxa"/>
            <w:vAlign w:val="center"/>
            <w:hideMark/>
          </w:tcPr>
          <w:p w14:paraId="2B51AE12" w14:textId="430773E7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-3</w:t>
            </w:r>
          </w:p>
        </w:tc>
        <w:tc>
          <w:tcPr>
            <w:tcW w:w="1738" w:type="dxa"/>
            <w:vAlign w:val="bottom"/>
          </w:tcPr>
          <w:p w14:paraId="75646091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0.11</w:t>
            </w:r>
          </w:p>
          <w:p w14:paraId="778FAC92" w14:textId="174CB910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[0.051 - 0.26]</w:t>
            </w:r>
          </w:p>
        </w:tc>
        <w:tc>
          <w:tcPr>
            <w:tcW w:w="1738" w:type="dxa"/>
            <w:vAlign w:val="bottom"/>
          </w:tcPr>
          <w:p w14:paraId="5DDC5A8B" w14:textId="103AEDEC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 [1.3 - 7.7]</w:t>
            </w:r>
          </w:p>
        </w:tc>
        <w:tc>
          <w:tcPr>
            <w:tcW w:w="1738" w:type="dxa"/>
            <w:vAlign w:val="bottom"/>
          </w:tcPr>
          <w:p w14:paraId="698A69EC" w14:textId="3FC61DB3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7E0E845B" w14:textId="2E6E20E3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 [1.9 - 12]</w:t>
            </w:r>
          </w:p>
        </w:tc>
        <w:tc>
          <w:tcPr>
            <w:tcW w:w="1738" w:type="dxa"/>
            <w:vAlign w:val="bottom"/>
          </w:tcPr>
          <w:p w14:paraId="1C6CD26F" w14:textId="77777777" w:rsidR="00237CEB" w:rsidRDefault="00237CEB" w:rsidP="008B58A5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24000</w:t>
            </w:r>
          </w:p>
          <w:p w14:paraId="0DF8A068" w14:textId="241D8B11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[7700 - 41000]</w:t>
            </w:r>
          </w:p>
        </w:tc>
      </w:tr>
      <w:tr w:rsidR="008B58A5" w:rsidRPr="00A82DF7" w14:paraId="06B16AAD" w14:textId="77777777" w:rsidTr="0015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0AF6B49F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357BEBFD" w14:textId="03015F49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181E4827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</w:t>
            </w:r>
          </w:p>
          <w:p w14:paraId="6E191389" w14:textId="53950CF0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[0.48 - 2.8]</w:t>
            </w:r>
          </w:p>
        </w:tc>
        <w:tc>
          <w:tcPr>
            <w:tcW w:w="1738" w:type="dxa"/>
            <w:vAlign w:val="bottom"/>
          </w:tcPr>
          <w:p w14:paraId="530F6BAD" w14:textId="0AEC002A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 [1 - 8.6]</w:t>
            </w:r>
          </w:p>
        </w:tc>
        <w:tc>
          <w:tcPr>
            <w:tcW w:w="1738" w:type="dxa"/>
            <w:vAlign w:val="bottom"/>
          </w:tcPr>
          <w:p w14:paraId="11A29DE6" w14:textId="1ACF0BA0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[1.6 - 2.3]</w:t>
            </w:r>
          </w:p>
        </w:tc>
        <w:tc>
          <w:tcPr>
            <w:tcW w:w="1738" w:type="dxa"/>
            <w:vAlign w:val="bottom"/>
          </w:tcPr>
          <w:p w14:paraId="26903010" w14:textId="13FDADBA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5.4 [1.8 - 12]</w:t>
            </w:r>
          </w:p>
        </w:tc>
        <w:tc>
          <w:tcPr>
            <w:tcW w:w="1738" w:type="dxa"/>
            <w:vAlign w:val="bottom"/>
          </w:tcPr>
          <w:p w14:paraId="2B96104B" w14:textId="77777777" w:rsidR="00237CEB" w:rsidRDefault="00237CEB" w:rsidP="008B58A5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25000</w:t>
            </w:r>
          </w:p>
          <w:p w14:paraId="04908F70" w14:textId="290B24F8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[5900 - 43000]</w:t>
            </w:r>
          </w:p>
        </w:tc>
      </w:tr>
      <w:tr w:rsidR="008B58A5" w:rsidRPr="00A82DF7" w14:paraId="22BC80E1" w14:textId="77777777" w:rsidTr="0015444F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5F56265E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070AD4D8" w14:textId="23950E09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5C5050B4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  <w:p w14:paraId="45941D23" w14:textId="0790E290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[5.7 - 25]</w:t>
            </w:r>
          </w:p>
        </w:tc>
        <w:tc>
          <w:tcPr>
            <w:tcW w:w="1738" w:type="dxa"/>
            <w:vAlign w:val="bottom"/>
          </w:tcPr>
          <w:p w14:paraId="5E2EAA2B" w14:textId="15609DA7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 [1.6 - 7.6]</w:t>
            </w:r>
          </w:p>
        </w:tc>
        <w:tc>
          <w:tcPr>
            <w:tcW w:w="1738" w:type="dxa"/>
            <w:vAlign w:val="bottom"/>
          </w:tcPr>
          <w:p w14:paraId="3F432763" w14:textId="368CCCF6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[1.6 - 2.3]</w:t>
            </w:r>
          </w:p>
        </w:tc>
        <w:tc>
          <w:tcPr>
            <w:tcW w:w="1738" w:type="dxa"/>
            <w:vAlign w:val="bottom"/>
          </w:tcPr>
          <w:p w14:paraId="0E4ACCCC" w14:textId="529FC32C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 [2 - 13]</w:t>
            </w:r>
          </w:p>
        </w:tc>
        <w:tc>
          <w:tcPr>
            <w:tcW w:w="1738" w:type="dxa"/>
            <w:vAlign w:val="bottom"/>
          </w:tcPr>
          <w:p w14:paraId="5DCC13D0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24000</w:t>
            </w:r>
          </w:p>
          <w:p w14:paraId="669F5AB1" w14:textId="13A28B70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[8600 - 38000]</w:t>
            </w:r>
          </w:p>
        </w:tc>
      </w:tr>
      <w:tr w:rsidR="008B58A5" w:rsidRPr="00A82DF7" w14:paraId="0E36C9A0" w14:textId="77777777" w:rsidTr="0015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34A8EE36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1110" w:type="dxa"/>
            <w:vAlign w:val="center"/>
            <w:hideMark/>
          </w:tcPr>
          <w:p w14:paraId="4FC7697B" w14:textId="4E5A5A7C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38" w:type="dxa"/>
            <w:vAlign w:val="bottom"/>
          </w:tcPr>
          <w:p w14:paraId="6E78CD7A" w14:textId="77777777" w:rsidR="00237CEB" w:rsidRDefault="008B58A5" w:rsidP="00237CEB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0.11</w:t>
            </w:r>
          </w:p>
          <w:p w14:paraId="302661AF" w14:textId="64CB834B" w:rsidR="008B58A5" w:rsidRPr="008665B9" w:rsidRDefault="008B58A5" w:rsidP="00237CEB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[0.033 - 0.38]</w:t>
            </w:r>
          </w:p>
        </w:tc>
        <w:tc>
          <w:tcPr>
            <w:tcW w:w="1738" w:type="dxa"/>
            <w:vAlign w:val="bottom"/>
          </w:tcPr>
          <w:p w14:paraId="4B7E53C9" w14:textId="1F31B83F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 [1.1 - 17]</w:t>
            </w:r>
          </w:p>
        </w:tc>
        <w:tc>
          <w:tcPr>
            <w:tcW w:w="1738" w:type="dxa"/>
            <w:vAlign w:val="bottom"/>
          </w:tcPr>
          <w:p w14:paraId="48611E5C" w14:textId="51760700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[1.5 - 2.4]</w:t>
            </w:r>
          </w:p>
        </w:tc>
        <w:tc>
          <w:tcPr>
            <w:tcW w:w="1738" w:type="dxa"/>
            <w:vAlign w:val="bottom"/>
          </w:tcPr>
          <w:p w14:paraId="50D68F2E" w14:textId="37F77B18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 [1.4 - 11]</w:t>
            </w:r>
          </w:p>
        </w:tc>
        <w:tc>
          <w:tcPr>
            <w:tcW w:w="1738" w:type="dxa"/>
            <w:vAlign w:val="bottom"/>
          </w:tcPr>
          <w:p w14:paraId="74AEF57D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46000</w:t>
            </w:r>
          </w:p>
          <w:p w14:paraId="523FB6CB" w14:textId="5A2C686D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[6600 - 79000]</w:t>
            </w:r>
          </w:p>
        </w:tc>
      </w:tr>
      <w:tr w:rsidR="008B58A5" w:rsidRPr="00A82DF7" w14:paraId="3657EC7B" w14:textId="77777777" w:rsidTr="0015444F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66E1C182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7DC995E1" w14:textId="167B2C92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40693F4E" w14:textId="77777777" w:rsidR="00237CEB" w:rsidRDefault="00237CEB" w:rsidP="008B58A5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</w:t>
            </w:r>
          </w:p>
          <w:p w14:paraId="3987CA08" w14:textId="20323007" w:rsidR="008B58A5" w:rsidRPr="008665B9" w:rsidRDefault="008B58A5" w:rsidP="008B58A5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[0.47 - 2.6]</w:t>
            </w:r>
          </w:p>
        </w:tc>
        <w:tc>
          <w:tcPr>
            <w:tcW w:w="1738" w:type="dxa"/>
            <w:vAlign w:val="bottom"/>
          </w:tcPr>
          <w:p w14:paraId="295E60F6" w14:textId="39883806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 [2.2 - 16]</w:t>
            </w:r>
          </w:p>
        </w:tc>
        <w:tc>
          <w:tcPr>
            <w:tcW w:w="1738" w:type="dxa"/>
            <w:vAlign w:val="bottom"/>
          </w:tcPr>
          <w:p w14:paraId="24BA7EDB" w14:textId="39D9FFD1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[1.5 - 2.3]</w:t>
            </w:r>
          </w:p>
        </w:tc>
        <w:tc>
          <w:tcPr>
            <w:tcW w:w="1738" w:type="dxa"/>
            <w:vAlign w:val="bottom"/>
          </w:tcPr>
          <w:p w14:paraId="21A167F5" w14:textId="7B37D342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 [1.9 - 10]</w:t>
            </w:r>
          </w:p>
        </w:tc>
        <w:tc>
          <w:tcPr>
            <w:tcW w:w="1738" w:type="dxa"/>
            <w:vAlign w:val="bottom"/>
          </w:tcPr>
          <w:p w14:paraId="02308A49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47000</w:t>
            </w:r>
          </w:p>
          <w:p w14:paraId="481DF805" w14:textId="31075ABB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[13000 - 78000]</w:t>
            </w:r>
          </w:p>
        </w:tc>
      </w:tr>
      <w:tr w:rsidR="008B58A5" w:rsidRPr="00A82DF7" w14:paraId="0FB90F84" w14:textId="77777777" w:rsidTr="0015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6617EA39" w14:textId="77777777" w:rsidR="008B58A5" w:rsidRPr="00EA733F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3E8167BF" w14:textId="31095F08" w:rsidR="008B58A5" w:rsidRPr="00C03C95" w:rsidRDefault="008B58A5" w:rsidP="008B58A5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 w:rsidR="00237CEB"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77D342B4" w14:textId="77777777" w:rsidR="00237CEB" w:rsidRDefault="00237CEB" w:rsidP="008B58A5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  <w:p w14:paraId="0575D877" w14:textId="3FC15B2A" w:rsidR="008B58A5" w:rsidRPr="008665B9" w:rsidRDefault="008B58A5" w:rsidP="008B58A5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[2.3 - 67]</w:t>
            </w:r>
          </w:p>
        </w:tc>
        <w:tc>
          <w:tcPr>
            <w:tcW w:w="1738" w:type="dxa"/>
            <w:vAlign w:val="bottom"/>
          </w:tcPr>
          <w:p w14:paraId="14FE0B0D" w14:textId="3941F156" w:rsidR="008B58A5" w:rsidRPr="008665B9" w:rsidRDefault="008B58A5" w:rsidP="008B58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 [-1.5 - 20]</w:t>
            </w:r>
          </w:p>
        </w:tc>
        <w:tc>
          <w:tcPr>
            <w:tcW w:w="1738" w:type="dxa"/>
            <w:vAlign w:val="bottom"/>
          </w:tcPr>
          <w:p w14:paraId="70FA9F93" w14:textId="31D446A3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[1.1 - 2.6]</w:t>
            </w:r>
          </w:p>
        </w:tc>
        <w:tc>
          <w:tcPr>
            <w:tcW w:w="1738" w:type="dxa"/>
            <w:vAlign w:val="bottom"/>
          </w:tcPr>
          <w:p w14:paraId="59C8D0E6" w14:textId="37A69F40" w:rsidR="008B58A5" w:rsidRPr="008665B9" w:rsidRDefault="008B58A5" w:rsidP="008B58A5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 [-5.7 - 17]</w:t>
            </w:r>
          </w:p>
        </w:tc>
        <w:tc>
          <w:tcPr>
            <w:tcW w:w="1738" w:type="dxa"/>
            <w:vAlign w:val="bottom"/>
          </w:tcPr>
          <w:p w14:paraId="087E885A" w14:textId="77777777" w:rsidR="00237CEB" w:rsidRDefault="008B58A5" w:rsidP="00237CEB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48000</w:t>
            </w:r>
          </w:p>
          <w:p w14:paraId="0802E332" w14:textId="6E929582" w:rsidR="008B58A5" w:rsidRPr="008665B9" w:rsidRDefault="008B58A5" w:rsidP="00237CEB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[-11000 - 86000]</w:t>
            </w:r>
          </w:p>
        </w:tc>
      </w:tr>
      <w:tr w:rsidR="00237CEB" w:rsidRPr="00A82DF7" w14:paraId="7521DB81" w14:textId="77777777" w:rsidTr="00555930">
        <w:trPr>
          <w:trHeight w:val="227"/>
        </w:trPr>
        <w:tc>
          <w:tcPr>
            <w:tcW w:w="1826" w:type="dxa"/>
            <w:gridSpan w:val="2"/>
            <w:vAlign w:val="center"/>
          </w:tcPr>
          <w:p w14:paraId="499505E2" w14:textId="77777777" w:rsidR="00237CEB" w:rsidRPr="00EA733F" w:rsidRDefault="00237CEB" w:rsidP="00237CEB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Model averaging</w:t>
            </w:r>
          </w:p>
        </w:tc>
        <w:tc>
          <w:tcPr>
            <w:tcW w:w="1738" w:type="dxa"/>
            <w:vAlign w:val="bottom"/>
          </w:tcPr>
          <w:p w14:paraId="750F7B27" w14:textId="4A3192D4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[0.078 - 57]</w:t>
            </w:r>
          </w:p>
        </w:tc>
        <w:tc>
          <w:tcPr>
            <w:tcW w:w="1738" w:type="dxa"/>
            <w:vAlign w:val="bottom"/>
          </w:tcPr>
          <w:p w14:paraId="6DF46F04" w14:textId="62AEFE2B" w:rsidR="00237CEB" w:rsidRPr="008665B9" w:rsidRDefault="00237CEB" w:rsidP="00237CEB">
            <w:pPr>
              <w:ind w:firstLine="1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 [0.43 - 12]</w:t>
            </w:r>
          </w:p>
        </w:tc>
        <w:tc>
          <w:tcPr>
            <w:tcW w:w="1738" w:type="dxa"/>
            <w:vAlign w:val="bottom"/>
          </w:tcPr>
          <w:p w14:paraId="5553E35D" w14:textId="7DFD2439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[1.5 - 2.3]</w:t>
            </w:r>
          </w:p>
        </w:tc>
        <w:tc>
          <w:tcPr>
            <w:tcW w:w="1738" w:type="dxa"/>
            <w:vAlign w:val="bottom"/>
          </w:tcPr>
          <w:p w14:paraId="0E464AD1" w14:textId="514F9152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6.8 [1.7 - 27]</w:t>
            </w:r>
          </w:p>
        </w:tc>
        <w:tc>
          <w:tcPr>
            <w:tcW w:w="1738" w:type="dxa"/>
            <w:vAlign w:val="bottom"/>
          </w:tcPr>
          <w:p w14:paraId="4F545516" w14:textId="77777777" w:rsidR="00237CEB" w:rsidRDefault="00237CEB" w:rsidP="00237CE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11000</w:t>
            </w:r>
          </w:p>
          <w:p w14:paraId="39B0FA36" w14:textId="6693CE0A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[2500 - 59000]</w:t>
            </w:r>
          </w:p>
        </w:tc>
      </w:tr>
    </w:tbl>
    <w:p w14:paraId="57F05780" w14:textId="77777777" w:rsidR="00703A29" w:rsidRPr="00F75E21" w:rsidRDefault="00703A29" w:rsidP="002F0B82">
      <w:pPr>
        <w:pStyle w:val="Custom"/>
      </w:pPr>
    </w:p>
    <w:p w14:paraId="6B403836" w14:textId="16D5566E" w:rsidR="00CB0957" w:rsidRDefault="00CB0957" w:rsidP="002F0B82"/>
    <w:p w14:paraId="116170F6" w14:textId="36754F60" w:rsidR="00D42FC1" w:rsidRDefault="00D42FC1" w:rsidP="002F0B82"/>
    <w:p w14:paraId="4D72DB09" w14:textId="13107820" w:rsidR="00D42FC1" w:rsidRDefault="00D42FC1" w:rsidP="002F0B82"/>
    <w:p w14:paraId="79DD1C6B" w14:textId="63F3510F" w:rsidR="00D42FC1" w:rsidRDefault="00D42FC1" w:rsidP="002F0B82"/>
    <w:p w14:paraId="08799773" w14:textId="33AB0712" w:rsidR="00D42FC1" w:rsidRDefault="00D42FC1" w:rsidP="002F0B82"/>
    <w:p w14:paraId="433B1009" w14:textId="4040CB07" w:rsidR="00D42FC1" w:rsidRDefault="00D42FC1" w:rsidP="002F0B82"/>
    <w:p w14:paraId="10B991E7" w14:textId="2A485C84" w:rsidR="00D42FC1" w:rsidRDefault="00D42FC1" w:rsidP="002F0B82"/>
    <w:p w14:paraId="3511F37E" w14:textId="6FFAA7D5" w:rsidR="00C03C95" w:rsidRDefault="00C03C95">
      <w:r>
        <w:br w:type="page"/>
      </w:r>
    </w:p>
    <w:p w14:paraId="70689182" w14:textId="426244E7" w:rsidR="00D42FC1" w:rsidRPr="00D42FC1" w:rsidRDefault="00EC03B2" w:rsidP="00D42FC1">
      <w:pPr>
        <w:pStyle w:val="TabFig"/>
        <w:rPr>
          <w:b w:val="0"/>
          <w:u w:val="none"/>
        </w:rPr>
      </w:pPr>
      <w:r>
        <w:rPr>
          <w:rStyle w:val="TabFigCar"/>
          <w:b/>
        </w:rPr>
        <w:lastRenderedPageBreak/>
        <w:t xml:space="preserve">Table </w:t>
      </w:r>
      <w:r w:rsidR="007D0AC3">
        <w:rPr>
          <w:rStyle w:val="TabFigCar"/>
          <w:b/>
        </w:rPr>
        <w:t>C</w:t>
      </w:r>
      <w:r w:rsidR="00D42FC1" w:rsidRPr="003A7E6B">
        <w:rPr>
          <w:rStyle w:val="TabFigCar"/>
          <w:b/>
        </w:rPr>
        <w:t>:</w:t>
      </w:r>
      <w:r w:rsidR="00D42FC1" w:rsidRPr="003A7E6B">
        <w:rPr>
          <w:u w:val="none"/>
        </w:rPr>
        <w:t xml:space="preserve"> </w:t>
      </w:r>
      <w:r w:rsidR="00C03C95">
        <w:rPr>
          <w:u w:val="none"/>
        </w:rPr>
        <w:t xml:space="preserve">Tracheal parameter values </w:t>
      </w:r>
      <w:r w:rsidR="00C03C95" w:rsidRPr="009A77AC">
        <w:rPr>
          <w:rFonts w:cs="Times New Roman"/>
          <w:u w:val="none"/>
        </w:rPr>
        <w:t>and associated 95% confidence interval [</w:t>
      </w:r>
      <w:proofErr w:type="gramStart"/>
      <w:r w:rsidR="00C03C95" w:rsidRPr="009A77AC">
        <w:rPr>
          <w:rFonts w:cs="Times New Roman"/>
          <w:u w:val="none"/>
        </w:rPr>
        <w:t>CI</w:t>
      </w:r>
      <w:r w:rsidR="00C03C95" w:rsidRPr="009A77AC">
        <w:rPr>
          <w:rFonts w:cs="Times New Roman"/>
          <w:u w:val="none"/>
          <w:vertAlign w:val="subscript"/>
        </w:rPr>
        <w:t>95%</w:t>
      </w:r>
      <w:proofErr w:type="gramEnd"/>
      <w:r w:rsidR="00C03C95">
        <w:rPr>
          <w:rFonts w:cs="Times New Roman"/>
          <w:u w:val="none"/>
        </w:rPr>
        <w:t>]</w:t>
      </w:r>
      <w:r w:rsidR="00C03C95" w:rsidRPr="009A77AC">
        <w:rPr>
          <w:u w:val="none"/>
        </w:rPr>
        <w:t xml:space="preserve"> across</w:t>
      </w:r>
      <w:r w:rsidR="00C03C95">
        <w:rPr>
          <w:u w:val="none"/>
        </w:rPr>
        <w:t xml:space="preserve"> the models and using model averaging. </w:t>
      </w:r>
      <w:r w:rsidR="00C03C95" w:rsidRPr="00994F18">
        <w:rPr>
          <w:b w:val="0"/>
          <w:u w:val="none"/>
        </w:rPr>
        <w:t>Models resulted from the</w:t>
      </w:r>
      <w:r w:rsidR="00C03C95">
        <w:rPr>
          <w:u w:val="none"/>
        </w:rPr>
        <w:t xml:space="preserve"> </w:t>
      </w:r>
      <w:r w:rsidR="00C03C95" w:rsidRPr="00994F18">
        <w:rPr>
          <w:b w:val="0"/>
          <w:u w:val="none"/>
        </w:rPr>
        <w:t xml:space="preserve">combination of 3 values for </w:t>
      </w:r>
      <w:r w:rsidR="00C03C95" w:rsidRPr="00994F18">
        <w:rPr>
          <w:b w:val="0"/>
          <w:i/>
          <w:u w:val="none"/>
        </w:rPr>
        <w:t xml:space="preserve">c </w:t>
      </w:r>
      <w:r w:rsidR="00C03C95" w:rsidRPr="00994F18">
        <w:rPr>
          <w:b w:val="0"/>
          <w:u w:val="none"/>
        </w:rPr>
        <w:t>{5, 10, 20 d</w:t>
      </w:r>
      <w:r w:rsidR="00C03C95" w:rsidRPr="00994F18">
        <w:rPr>
          <w:b w:val="0"/>
          <w:u w:val="none"/>
          <w:vertAlign w:val="superscript"/>
        </w:rPr>
        <w:t>-1</w:t>
      </w:r>
      <w:r w:rsidR="00C03C95">
        <w:rPr>
          <w:b w:val="0"/>
          <w:u w:val="none"/>
        </w:rPr>
        <w:t>} and µ</w:t>
      </w:r>
      <w:r w:rsidR="00C03C95" w:rsidRPr="00994F18">
        <w:rPr>
          <w:b w:val="0"/>
          <w:u w:val="none"/>
        </w:rPr>
        <w:t xml:space="preserve"> {</w:t>
      </w:r>
      <w:r w:rsidR="00C03C95" w:rsidRPr="00C03C95">
        <w:rPr>
          <w:b w:val="0"/>
          <w:u w:val="none"/>
        </w:rPr>
        <w:t>10</w:t>
      </w:r>
      <w:r w:rsidR="008F5D4F">
        <w:rPr>
          <w:b w:val="0"/>
          <w:u w:val="none"/>
          <w:vertAlign w:val="superscript"/>
        </w:rPr>
        <w:t>-5</w:t>
      </w:r>
      <w:r w:rsidR="00C03C95">
        <w:rPr>
          <w:b w:val="0"/>
          <w:u w:val="none"/>
        </w:rPr>
        <w:t>, 10</w:t>
      </w:r>
      <w:r w:rsidR="008F5D4F">
        <w:rPr>
          <w:b w:val="0"/>
          <w:u w:val="none"/>
          <w:vertAlign w:val="superscript"/>
        </w:rPr>
        <w:t>-4</w:t>
      </w:r>
      <w:r w:rsidR="00C03C95">
        <w:rPr>
          <w:b w:val="0"/>
          <w:u w:val="none"/>
        </w:rPr>
        <w:t>, 10</w:t>
      </w:r>
      <w:r w:rsidR="008F5D4F">
        <w:rPr>
          <w:b w:val="0"/>
          <w:u w:val="none"/>
          <w:vertAlign w:val="superscript"/>
        </w:rPr>
        <w:t>-3</w:t>
      </w:r>
      <w:r w:rsidR="00C03C95" w:rsidRPr="00994F18">
        <w:rPr>
          <w:b w:val="0"/>
          <w:u w:val="none"/>
        </w:rPr>
        <w:t>}</w:t>
      </w:r>
      <w:r w:rsidR="00C03C95">
        <w:t xml:space="preserve"> </w:t>
      </w:r>
    </w:p>
    <w:tbl>
      <w:tblPr>
        <w:tblStyle w:val="TableauGrille6Couleur1"/>
        <w:tblpPr w:leftFromText="180" w:rightFromText="180" w:vertAnchor="text" w:horzAnchor="margin" w:tblpXSpec="center" w:tblpY="164"/>
        <w:tblW w:w="10516" w:type="dxa"/>
        <w:tblLayout w:type="fixed"/>
        <w:tblLook w:val="0420" w:firstRow="1" w:lastRow="0" w:firstColumn="0" w:lastColumn="0" w:noHBand="0" w:noVBand="1"/>
      </w:tblPr>
      <w:tblGrid>
        <w:gridCol w:w="716"/>
        <w:gridCol w:w="1110"/>
        <w:gridCol w:w="1738"/>
        <w:gridCol w:w="1738"/>
        <w:gridCol w:w="1738"/>
        <w:gridCol w:w="1738"/>
        <w:gridCol w:w="1738"/>
      </w:tblGrid>
      <w:tr w:rsidR="00C03C95" w:rsidRPr="00C03C95" w14:paraId="3650569E" w14:textId="77777777" w:rsidTr="0086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716" w:type="dxa"/>
            <w:vAlign w:val="center"/>
            <w:hideMark/>
          </w:tcPr>
          <w:p w14:paraId="4593B855" w14:textId="77777777" w:rsidR="00C03C95" w:rsidRPr="00EA733F" w:rsidRDefault="00C03C95" w:rsidP="001D169A">
            <w:pPr>
              <w:spacing w:line="276" w:lineRule="auto"/>
              <w:jc w:val="center"/>
              <w:rPr>
                <w:rFonts w:cs="Times New Roman"/>
                <w:b w:val="0"/>
                <w:sz w:val="20"/>
              </w:rPr>
            </w:pPr>
            <w:r w:rsidRPr="00EA733F">
              <w:rPr>
                <w:rFonts w:cs="Times New Roman"/>
                <w:sz w:val="20"/>
              </w:rPr>
              <w:t>c (d</w:t>
            </w:r>
            <w:r w:rsidRPr="00EA733F">
              <w:rPr>
                <w:rFonts w:cs="Times New Roman"/>
                <w:sz w:val="20"/>
                <w:vertAlign w:val="superscript"/>
              </w:rPr>
              <w:t>-1</w:t>
            </w:r>
            <w:r w:rsidRPr="00EA733F">
              <w:rPr>
                <w:rFonts w:cs="Times New Roman"/>
                <w:sz w:val="20"/>
              </w:rPr>
              <w:t>)</w:t>
            </w:r>
          </w:p>
        </w:tc>
        <w:tc>
          <w:tcPr>
            <w:tcW w:w="1110" w:type="dxa"/>
            <w:vAlign w:val="center"/>
            <w:hideMark/>
          </w:tcPr>
          <w:p w14:paraId="4F1380B3" w14:textId="77777777" w:rsidR="00C03C95" w:rsidRPr="00EA733F" w:rsidRDefault="00C03C95" w:rsidP="001D169A">
            <w:pPr>
              <w:spacing w:line="276" w:lineRule="auto"/>
              <w:jc w:val="center"/>
              <w:rPr>
                <w:rFonts w:cs="Times New Roman"/>
                <w:b w:val="0"/>
                <w:sz w:val="20"/>
              </w:rPr>
            </w:pPr>
            <w:r>
              <w:rPr>
                <w:rFonts w:cs="Times New Roman"/>
                <w:sz w:val="20"/>
              </w:rPr>
              <w:t>µ</w:t>
            </w:r>
          </w:p>
        </w:tc>
        <w:tc>
          <w:tcPr>
            <w:tcW w:w="1738" w:type="dxa"/>
            <w:vAlign w:val="center"/>
            <w:hideMark/>
          </w:tcPr>
          <w:p w14:paraId="3A3D3B7A" w14:textId="767B92C2" w:rsidR="00C03C95" w:rsidRPr="00EA733F" w:rsidRDefault="00557780" w:rsidP="001D169A">
            <w:pPr>
              <w:spacing w:line="276" w:lineRule="auto"/>
              <w:jc w:val="center"/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fr-FR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lang w:val="fr-FR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lang w:val="fr-FR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-3</m:t>
                  </m:r>
                </m:sup>
              </m:sSup>
            </m:oMath>
            <w:r w:rsidR="00C03C95" w:rsidRPr="00EA733F"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  <w:t xml:space="preserve"> </w:t>
            </w:r>
            <w:r w:rsidR="00C03C95" w:rsidRPr="00EA733F">
              <w:rPr>
                <w:rFonts w:cs="Times New Roman"/>
                <w:sz w:val="20"/>
                <w:lang w:val="fr-FR"/>
              </w:rPr>
              <w:t>(mL.copies</w:t>
            </w:r>
            <w:r w:rsidR="00C03C95"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 w:rsidR="00C03C95" w:rsidRPr="00EA733F">
              <w:rPr>
                <w:rFonts w:cs="Times New Roman"/>
                <w:sz w:val="20"/>
                <w:lang w:val="fr-FR"/>
              </w:rPr>
              <w:t>.d</w:t>
            </w:r>
            <w:r w:rsidR="00C03C95"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 w:rsidR="00C03C95" w:rsidRPr="00EA733F"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  <w:hideMark/>
          </w:tcPr>
          <w:p w14:paraId="5A1F991A" w14:textId="27F191A5" w:rsidR="00C03C95" w:rsidRPr="00C9711F" w:rsidRDefault="00C03C95" w:rsidP="001D169A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w:r w:rsidRPr="00C9711F">
              <w:rPr>
                <w:rFonts w:cs="Times New Roman"/>
                <w:sz w:val="20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fr-FR"/>
                    </w:rPr>
                    <m:t>p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lang w:val="fr-FR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fr-FR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fr-FR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lang w:val="fr-FR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sz w:val="20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lang w:val="fr-FR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lang w:val="fr-FR"/>
                    </w:rPr>
                    <m:t>4</m:t>
                  </m:r>
                </m:sup>
              </m:sSup>
            </m:oMath>
            <w:r w:rsidRPr="00C9711F">
              <w:rPr>
                <w:rFonts w:eastAsiaTheme="minorEastAsia" w:cs="Times New Roman"/>
                <w:b w:val="0"/>
                <w:bCs w:val="0"/>
                <w:sz w:val="20"/>
                <w:lang w:val="fr-FR"/>
              </w:rPr>
              <w:t xml:space="preserve"> </w:t>
            </w:r>
            <w:r w:rsidRPr="00C9711F">
              <w:rPr>
                <w:rFonts w:cs="Times New Roman"/>
                <w:sz w:val="20"/>
                <w:lang w:val="fr-FR"/>
              </w:rPr>
              <w:t>[CI</w:t>
            </w:r>
            <w:r w:rsidRPr="00C9711F">
              <w:rPr>
                <w:rFonts w:cs="Times New Roman"/>
                <w:sz w:val="20"/>
                <w:vertAlign w:val="subscript"/>
                <w:lang w:val="fr-FR"/>
              </w:rPr>
              <w:t>95%</w:t>
            </w:r>
            <w:r w:rsidRPr="00C9711F">
              <w:rPr>
                <w:rFonts w:cs="Times New Roman"/>
                <w:sz w:val="20"/>
                <w:lang w:val="fr-FR"/>
              </w:rPr>
              <w:t>]</w:t>
            </w:r>
          </w:p>
          <w:p w14:paraId="094155DD" w14:textId="77777777" w:rsidR="00C03C95" w:rsidRPr="00C9711F" w:rsidRDefault="00C03C95" w:rsidP="001D169A">
            <w:pPr>
              <w:spacing w:line="276" w:lineRule="auto"/>
              <w:jc w:val="center"/>
              <w:rPr>
                <w:rFonts w:cs="Times New Roman"/>
                <w:b w:val="0"/>
                <w:sz w:val="20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</w:t>
            </w:r>
            <w:r w:rsidRPr="00EA733F">
              <w:rPr>
                <w:rFonts w:cs="Times New Roman"/>
                <w:sz w:val="20"/>
                <w:lang w:val="fr-FR"/>
              </w:rPr>
              <w:t>copies.d</w:t>
            </w:r>
            <w:r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  <w:vAlign w:val="center"/>
          </w:tcPr>
          <w:p w14:paraId="2A87A37A" w14:textId="77777777" w:rsidR="00C03C95" w:rsidRPr="00C03C95" w:rsidRDefault="00C03C95" w:rsidP="001D169A">
            <w:pPr>
              <w:spacing w:line="276" w:lineRule="auto"/>
              <w:jc w:val="center"/>
              <w:rPr>
                <w:rFonts w:eastAsiaTheme="minorEastAsia" w:cs="Times New Roman"/>
                <w:sz w:val="20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δ</m:t>
              </m:r>
            </m:oMath>
            <w:r w:rsidRPr="00C03C95">
              <w:rPr>
                <w:rFonts w:eastAsiaTheme="minorEastAsia" w:cs="Times New Roman"/>
                <w:sz w:val="20"/>
                <w:lang w:val="fr-FR"/>
              </w:rPr>
              <w:t xml:space="preserve"> [CI</w:t>
            </w:r>
            <w:r w:rsidRPr="00C03C95">
              <w:rPr>
                <w:rFonts w:eastAsiaTheme="minorEastAsia" w:cs="Times New Roman"/>
                <w:sz w:val="20"/>
                <w:vertAlign w:val="subscript"/>
                <w:lang w:val="fr-FR"/>
              </w:rPr>
              <w:t>95%</w:t>
            </w:r>
            <w:r w:rsidRPr="00C03C95">
              <w:rPr>
                <w:rFonts w:eastAsiaTheme="minorEastAsia" w:cs="Times New Roman"/>
                <w:sz w:val="20"/>
                <w:lang w:val="fr-FR"/>
              </w:rPr>
              <w:t>]</w:t>
            </w:r>
          </w:p>
          <w:p w14:paraId="30974EE5" w14:textId="77777777" w:rsidR="00C03C95" w:rsidRPr="00EA733F" w:rsidRDefault="00C03C95" w:rsidP="001D169A">
            <w:pPr>
              <w:spacing w:line="276" w:lineRule="auto"/>
              <w:jc w:val="center"/>
              <w:rPr>
                <w:rFonts w:cs="Times New Roman"/>
                <w:sz w:val="20"/>
                <w:vertAlign w:val="superscript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</w:t>
            </w:r>
            <w:r w:rsidRPr="00EA733F">
              <w:rPr>
                <w:rFonts w:cs="Times New Roman"/>
                <w:sz w:val="20"/>
                <w:lang w:val="fr-FR"/>
              </w:rPr>
              <w:t>d</w:t>
            </w:r>
            <w:r w:rsidRPr="00EA733F">
              <w:rPr>
                <w:rFonts w:cs="Times New Roman"/>
                <w:sz w:val="20"/>
                <w:vertAlign w:val="superscript"/>
                <w:lang w:val="fr-FR"/>
              </w:rPr>
              <w:t>-1</w:t>
            </w:r>
            <w:r>
              <w:rPr>
                <w:rFonts w:cs="Times New Roman"/>
                <w:sz w:val="20"/>
                <w:lang w:val="fr-FR"/>
              </w:rPr>
              <w:t>)</w:t>
            </w:r>
          </w:p>
        </w:tc>
        <w:tc>
          <w:tcPr>
            <w:tcW w:w="1738" w:type="dxa"/>
          </w:tcPr>
          <w:p w14:paraId="37BA7D49" w14:textId="357B5C41" w:rsidR="00C03C95" w:rsidRPr="00C9711F" w:rsidRDefault="00557780" w:rsidP="001D169A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R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lang w:val="fr-F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738" w:type="dxa"/>
          </w:tcPr>
          <w:p w14:paraId="0865280C" w14:textId="67D6F308" w:rsidR="00C03C95" w:rsidRPr="00C03C95" w:rsidRDefault="00557780" w:rsidP="001D169A">
            <w:pPr>
              <w:spacing w:line="276" w:lineRule="auto"/>
              <w:jc w:val="center"/>
              <w:rPr>
                <w:rFonts w:eastAsiaTheme="minorEastAsia" w:cs="Times New Roman"/>
                <w:sz w:val="20"/>
                <w:lang w:val="fr-F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 w:val="0"/>
                      <w:bCs w:val="0"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</w:rPr>
                    <m:t>N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</w:rPr>
                    <m:t>T</m:t>
                  </m:r>
                </m:sub>
              </m:sSub>
            </m:oMath>
            <w:r w:rsidR="00C03C95" w:rsidRPr="00C03C95">
              <w:rPr>
                <w:rFonts w:eastAsiaTheme="minorEastAsia" w:cs="Times New Roman"/>
                <w:sz w:val="20"/>
                <w:lang w:val="fr-FR"/>
              </w:rPr>
              <w:t xml:space="preserve"> [CI</w:t>
            </w:r>
            <w:r w:rsidR="00C03C95" w:rsidRPr="00C03C95">
              <w:rPr>
                <w:rFonts w:eastAsiaTheme="minorEastAsia" w:cs="Times New Roman"/>
                <w:sz w:val="20"/>
                <w:vertAlign w:val="subscript"/>
                <w:lang w:val="fr-FR"/>
              </w:rPr>
              <w:t>95%</w:t>
            </w:r>
            <w:r w:rsidR="00C03C95" w:rsidRPr="00C03C95">
              <w:rPr>
                <w:rFonts w:eastAsiaTheme="minorEastAsia" w:cs="Times New Roman"/>
                <w:sz w:val="20"/>
                <w:lang w:val="fr-FR"/>
              </w:rPr>
              <w:t>]</w:t>
            </w:r>
          </w:p>
          <w:p w14:paraId="2BBE15A0" w14:textId="77777777" w:rsidR="00C03C95" w:rsidRPr="00C03C95" w:rsidRDefault="00C03C95" w:rsidP="001D169A">
            <w:pPr>
              <w:spacing w:line="276" w:lineRule="auto"/>
              <w:jc w:val="center"/>
              <w:rPr>
                <w:rFonts w:cs="Times New Roman"/>
                <w:sz w:val="20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(copies)</w:t>
            </w:r>
          </w:p>
        </w:tc>
      </w:tr>
      <w:tr w:rsidR="00132EC0" w:rsidRPr="00654B66" w14:paraId="331E312B" w14:textId="77777777" w:rsidTr="0011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4317CDC8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EA733F">
              <w:rPr>
                <w:rFonts w:cs="Times New Roman"/>
                <w:b/>
                <w:sz w:val="20"/>
                <w:lang w:val="fr-FR"/>
              </w:rPr>
              <w:t>5</w:t>
            </w:r>
          </w:p>
        </w:tc>
        <w:tc>
          <w:tcPr>
            <w:tcW w:w="1110" w:type="dxa"/>
            <w:vAlign w:val="center"/>
            <w:hideMark/>
          </w:tcPr>
          <w:p w14:paraId="033E3818" w14:textId="7CBAAA13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C03C95">
              <w:rPr>
                <w:b/>
                <w:sz w:val="20"/>
                <w:lang w:val="fr-FR"/>
              </w:rPr>
              <w:t>µ = 10</w:t>
            </w:r>
            <w:r>
              <w:rPr>
                <w:b/>
                <w:sz w:val="20"/>
                <w:vertAlign w:val="superscript"/>
                <w:lang w:val="fr-FR"/>
              </w:rPr>
              <w:t>-3</w:t>
            </w:r>
          </w:p>
        </w:tc>
        <w:tc>
          <w:tcPr>
            <w:tcW w:w="1738" w:type="dxa"/>
            <w:vAlign w:val="bottom"/>
          </w:tcPr>
          <w:p w14:paraId="04FA9A4F" w14:textId="22AC77BC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0.41 [0.06 - 2.8]</w:t>
            </w:r>
          </w:p>
        </w:tc>
        <w:tc>
          <w:tcPr>
            <w:tcW w:w="1738" w:type="dxa"/>
            <w:vAlign w:val="bottom"/>
          </w:tcPr>
          <w:p w14:paraId="1CFE74E9" w14:textId="641964CB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0.77 [0.21 - 1.6]</w:t>
            </w:r>
          </w:p>
        </w:tc>
        <w:tc>
          <w:tcPr>
            <w:tcW w:w="1738" w:type="dxa"/>
            <w:vAlign w:val="bottom"/>
          </w:tcPr>
          <w:p w14:paraId="68D7DF8E" w14:textId="5B582495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[1.4 - 2.3]</w:t>
            </w:r>
          </w:p>
        </w:tc>
        <w:tc>
          <w:tcPr>
            <w:tcW w:w="1738" w:type="dxa"/>
            <w:vAlign w:val="bottom"/>
          </w:tcPr>
          <w:p w14:paraId="3CA84222" w14:textId="57DCA857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 [0.84 - 36]</w:t>
            </w:r>
          </w:p>
        </w:tc>
        <w:tc>
          <w:tcPr>
            <w:tcW w:w="1738" w:type="dxa"/>
            <w:vAlign w:val="bottom"/>
          </w:tcPr>
          <w:p w14:paraId="47137BD0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4200</w:t>
            </w:r>
          </w:p>
          <w:p w14:paraId="1DFDF7F5" w14:textId="59B670D5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[1200 - 8000]</w:t>
            </w:r>
          </w:p>
        </w:tc>
      </w:tr>
      <w:tr w:rsidR="00132EC0" w:rsidRPr="00A82DF7" w14:paraId="258BFB06" w14:textId="77777777" w:rsidTr="001142CB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28511D2F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</w:p>
        </w:tc>
        <w:tc>
          <w:tcPr>
            <w:tcW w:w="1110" w:type="dxa"/>
            <w:vAlign w:val="center"/>
            <w:hideMark/>
          </w:tcPr>
          <w:p w14:paraId="4AD95064" w14:textId="5F1CE0EA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fr-FR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0DEDEEA3" w14:textId="30D658B8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 [0.75 - 10]</w:t>
            </w:r>
          </w:p>
        </w:tc>
        <w:tc>
          <w:tcPr>
            <w:tcW w:w="1738" w:type="dxa"/>
            <w:vAlign w:val="bottom"/>
          </w:tcPr>
          <w:p w14:paraId="7BE8A2AD" w14:textId="349AC7DB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0.84 [0.23 - 1.6]</w:t>
            </w:r>
          </w:p>
        </w:tc>
        <w:tc>
          <w:tcPr>
            <w:tcW w:w="1738" w:type="dxa"/>
            <w:vAlign w:val="bottom"/>
          </w:tcPr>
          <w:p w14:paraId="26B5C148" w14:textId="4BE88B59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25C4B981" w14:textId="568B9E65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 [0.99 - 15]</w:t>
            </w:r>
          </w:p>
        </w:tc>
        <w:tc>
          <w:tcPr>
            <w:tcW w:w="1738" w:type="dxa"/>
            <w:vAlign w:val="bottom"/>
          </w:tcPr>
          <w:p w14:paraId="1264AA4D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4500</w:t>
            </w:r>
          </w:p>
          <w:p w14:paraId="070D553F" w14:textId="5F9FD96A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[1400 - 8200]</w:t>
            </w:r>
          </w:p>
        </w:tc>
      </w:tr>
      <w:tr w:rsidR="00132EC0" w:rsidRPr="00A82DF7" w14:paraId="312E0C04" w14:textId="77777777" w:rsidTr="0011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0629E44F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02856FC" w14:textId="3A3FF745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769DC26F" w14:textId="590198D8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 [4.7 - 210]</w:t>
            </w:r>
          </w:p>
        </w:tc>
        <w:tc>
          <w:tcPr>
            <w:tcW w:w="1738" w:type="dxa"/>
            <w:vAlign w:val="bottom"/>
          </w:tcPr>
          <w:p w14:paraId="1D3901B4" w14:textId="2BCF3006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0.82 [0.25 - 1.6]</w:t>
            </w:r>
          </w:p>
        </w:tc>
        <w:tc>
          <w:tcPr>
            <w:tcW w:w="1738" w:type="dxa"/>
            <w:vAlign w:val="bottom"/>
          </w:tcPr>
          <w:p w14:paraId="2F032717" w14:textId="22A0E469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26FF68E3" w14:textId="418E7CF3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4.9 [0.74 - 27]</w:t>
            </w:r>
          </w:p>
        </w:tc>
        <w:tc>
          <w:tcPr>
            <w:tcW w:w="1738" w:type="dxa"/>
            <w:vAlign w:val="bottom"/>
          </w:tcPr>
          <w:p w14:paraId="03322EDC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4400</w:t>
            </w:r>
          </w:p>
          <w:p w14:paraId="2F67838A" w14:textId="71C73B13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[1500 - 8100]</w:t>
            </w:r>
          </w:p>
        </w:tc>
      </w:tr>
      <w:tr w:rsidR="00132EC0" w:rsidRPr="00A82DF7" w14:paraId="0120C732" w14:textId="77777777" w:rsidTr="001142CB">
        <w:trPr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4E8FC8D9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10</w:t>
            </w:r>
          </w:p>
        </w:tc>
        <w:tc>
          <w:tcPr>
            <w:tcW w:w="1110" w:type="dxa"/>
            <w:vAlign w:val="center"/>
            <w:hideMark/>
          </w:tcPr>
          <w:p w14:paraId="7D190D09" w14:textId="1EC39DD3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-3</w:t>
            </w:r>
          </w:p>
        </w:tc>
        <w:tc>
          <w:tcPr>
            <w:tcW w:w="1738" w:type="dxa"/>
            <w:vAlign w:val="bottom"/>
          </w:tcPr>
          <w:p w14:paraId="5A7B76B8" w14:textId="77777777" w:rsidR="00132EC0" w:rsidRDefault="00132EC0" w:rsidP="00132EC0">
            <w:pPr>
              <w:ind w:firstLine="1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0.17</w:t>
            </w:r>
          </w:p>
          <w:p w14:paraId="45161B2A" w14:textId="52852F7C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[0.056 - 0.56]</w:t>
            </w:r>
          </w:p>
        </w:tc>
        <w:tc>
          <w:tcPr>
            <w:tcW w:w="1738" w:type="dxa"/>
            <w:vAlign w:val="bottom"/>
          </w:tcPr>
          <w:p w14:paraId="7C1CEEB3" w14:textId="2DD16086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 [0.81 - 4.3]</w:t>
            </w:r>
          </w:p>
        </w:tc>
        <w:tc>
          <w:tcPr>
            <w:tcW w:w="1738" w:type="dxa"/>
            <w:vAlign w:val="bottom"/>
          </w:tcPr>
          <w:p w14:paraId="7CFE3E10" w14:textId="01B62F49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[1.5 - 2.2]</w:t>
            </w:r>
          </w:p>
        </w:tc>
        <w:tc>
          <w:tcPr>
            <w:tcW w:w="1738" w:type="dxa"/>
            <w:vAlign w:val="bottom"/>
          </w:tcPr>
          <w:p w14:paraId="409FE186" w14:textId="5C496260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 [1.2 - 10]</w:t>
            </w:r>
          </w:p>
        </w:tc>
        <w:tc>
          <w:tcPr>
            <w:tcW w:w="1738" w:type="dxa"/>
            <w:vAlign w:val="bottom"/>
          </w:tcPr>
          <w:p w14:paraId="3C22F352" w14:textId="12EC1829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11000</w:t>
            </w:r>
          </w:p>
          <w:p w14:paraId="509BB94E" w14:textId="7BA7B1A3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[4500 - 22000]</w:t>
            </w:r>
          </w:p>
        </w:tc>
      </w:tr>
      <w:tr w:rsidR="00132EC0" w:rsidRPr="00A82DF7" w14:paraId="33F00856" w14:textId="77777777" w:rsidTr="0011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6186852E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00B02283" w14:textId="4375170F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0028B0A5" w14:textId="36D01AA2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 [0.58 - 5.6]</w:t>
            </w:r>
          </w:p>
        </w:tc>
        <w:tc>
          <w:tcPr>
            <w:tcW w:w="1738" w:type="dxa"/>
            <w:vAlign w:val="bottom"/>
          </w:tcPr>
          <w:p w14:paraId="340D4E22" w14:textId="0990894B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 [0.69 - 3.9]</w:t>
            </w:r>
          </w:p>
        </w:tc>
        <w:tc>
          <w:tcPr>
            <w:tcW w:w="1738" w:type="dxa"/>
            <w:vAlign w:val="bottom"/>
          </w:tcPr>
          <w:p w14:paraId="7D7B496C" w14:textId="6D10236A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[1.6 - 2.3]</w:t>
            </w:r>
          </w:p>
        </w:tc>
        <w:tc>
          <w:tcPr>
            <w:tcW w:w="1738" w:type="dxa"/>
            <w:vAlign w:val="bottom"/>
          </w:tcPr>
          <w:p w14:paraId="7DBCAB38" w14:textId="640E4B62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 [1 - 9.8]</w:t>
            </w:r>
          </w:p>
        </w:tc>
        <w:tc>
          <w:tcPr>
            <w:tcW w:w="1738" w:type="dxa"/>
            <w:vAlign w:val="bottom"/>
          </w:tcPr>
          <w:p w14:paraId="0AAB5C74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11000</w:t>
            </w:r>
          </w:p>
          <w:p w14:paraId="4A016E44" w14:textId="17D61333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[4000 - 19000]</w:t>
            </w:r>
          </w:p>
        </w:tc>
      </w:tr>
      <w:tr w:rsidR="00132EC0" w:rsidRPr="00A82DF7" w14:paraId="0380BED2" w14:textId="77777777" w:rsidTr="001142CB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1A7C98B8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38FB9DA4" w14:textId="3D23245A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27DB6B68" w14:textId="35AA13F2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 [6.1 - 53]</w:t>
            </w:r>
          </w:p>
        </w:tc>
        <w:tc>
          <w:tcPr>
            <w:tcW w:w="1738" w:type="dxa"/>
            <w:vAlign w:val="bottom"/>
          </w:tcPr>
          <w:p w14:paraId="27B42B8E" w14:textId="269449A4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 [0.89 - 4.1]</w:t>
            </w:r>
          </w:p>
        </w:tc>
        <w:tc>
          <w:tcPr>
            <w:tcW w:w="1738" w:type="dxa"/>
            <w:vAlign w:val="bottom"/>
          </w:tcPr>
          <w:p w14:paraId="45F7B7F5" w14:textId="3CBAD825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[1.6 - 2.3]</w:t>
            </w:r>
          </w:p>
        </w:tc>
        <w:tc>
          <w:tcPr>
            <w:tcW w:w="1738" w:type="dxa"/>
            <w:vAlign w:val="bottom"/>
          </w:tcPr>
          <w:p w14:paraId="4B5915E2" w14:textId="73128EC9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 [1.2 - 11]</w:t>
            </w:r>
          </w:p>
        </w:tc>
        <w:tc>
          <w:tcPr>
            <w:tcW w:w="1738" w:type="dxa"/>
            <w:vAlign w:val="bottom"/>
          </w:tcPr>
          <w:p w14:paraId="5EDC8AA0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11000</w:t>
            </w:r>
          </w:p>
          <w:p w14:paraId="33A95DD0" w14:textId="65A0A4BB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[5000 - 20000]</w:t>
            </w:r>
          </w:p>
        </w:tc>
      </w:tr>
      <w:tr w:rsidR="00132EC0" w:rsidRPr="00A82DF7" w14:paraId="07EE083D" w14:textId="77777777" w:rsidTr="0011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 w:val="restart"/>
            <w:vAlign w:val="center"/>
            <w:hideMark/>
          </w:tcPr>
          <w:p w14:paraId="7D2531FC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1110" w:type="dxa"/>
            <w:vAlign w:val="center"/>
            <w:hideMark/>
          </w:tcPr>
          <w:p w14:paraId="16FB9D7D" w14:textId="293D6B7B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38" w:type="dxa"/>
            <w:vAlign w:val="bottom"/>
          </w:tcPr>
          <w:p w14:paraId="4DD59183" w14:textId="3DB190DE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0.17 [0.04 - 0.7]</w:t>
            </w:r>
          </w:p>
        </w:tc>
        <w:tc>
          <w:tcPr>
            <w:tcW w:w="1738" w:type="dxa"/>
            <w:vAlign w:val="bottom"/>
          </w:tcPr>
          <w:p w14:paraId="153C24E9" w14:textId="47C1691B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 [0.66 - 9.9]</w:t>
            </w:r>
          </w:p>
        </w:tc>
        <w:tc>
          <w:tcPr>
            <w:tcW w:w="1738" w:type="dxa"/>
            <w:vAlign w:val="bottom"/>
          </w:tcPr>
          <w:p w14:paraId="3F60BBB6" w14:textId="682EF06D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[1.5 - 2.4]</w:t>
            </w:r>
          </w:p>
        </w:tc>
        <w:tc>
          <w:tcPr>
            <w:tcW w:w="1738" w:type="dxa"/>
            <w:vAlign w:val="bottom"/>
          </w:tcPr>
          <w:p w14:paraId="7D0E1060" w14:textId="514E343C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 [0.87 - 9]</w:t>
            </w:r>
          </w:p>
        </w:tc>
        <w:tc>
          <w:tcPr>
            <w:tcW w:w="1738" w:type="dxa"/>
            <w:vAlign w:val="bottom"/>
          </w:tcPr>
          <w:p w14:paraId="6C09D525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22000</w:t>
            </w:r>
          </w:p>
          <w:p w14:paraId="1F973C39" w14:textId="17351F98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[4000 - 45000]</w:t>
            </w:r>
          </w:p>
        </w:tc>
      </w:tr>
      <w:tr w:rsidR="00132EC0" w:rsidRPr="00A82DF7" w14:paraId="053E7D3E" w14:textId="77777777" w:rsidTr="001142CB">
        <w:trPr>
          <w:trHeight w:val="227"/>
        </w:trPr>
        <w:tc>
          <w:tcPr>
            <w:tcW w:w="716" w:type="dxa"/>
            <w:vMerge/>
            <w:vAlign w:val="center"/>
            <w:hideMark/>
          </w:tcPr>
          <w:p w14:paraId="51BEC21C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E297D9F" w14:textId="246C7F23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-4</w:t>
            </w:r>
          </w:p>
        </w:tc>
        <w:tc>
          <w:tcPr>
            <w:tcW w:w="1738" w:type="dxa"/>
            <w:vAlign w:val="bottom"/>
          </w:tcPr>
          <w:p w14:paraId="38C5013F" w14:textId="02F3ABF2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 [0.58 - 4.9]</w:t>
            </w:r>
          </w:p>
        </w:tc>
        <w:tc>
          <w:tcPr>
            <w:tcW w:w="1738" w:type="dxa"/>
            <w:vAlign w:val="bottom"/>
          </w:tcPr>
          <w:p w14:paraId="78CDA879" w14:textId="0A765F25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 [1.5 - 8.3]</w:t>
            </w:r>
          </w:p>
        </w:tc>
        <w:tc>
          <w:tcPr>
            <w:tcW w:w="1738" w:type="dxa"/>
            <w:vAlign w:val="bottom"/>
          </w:tcPr>
          <w:p w14:paraId="04C51AF4" w14:textId="24E3E5D8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[1.5 - 2.3]</w:t>
            </w:r>
          </w:p>
        </w:tc>
        <w:tc>
          <w:tcPr>
            <w:tcW w:w="1738" w:type="dxa"/>
            <w:vAlign w:val="bottom"/>
          </w:tcPr>
          <w:p w14:paraId="18A7B2D2" w14:textId="3E7A7F8D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 [1.2 - 9.1]</w:t>
            </w:r>
          </w:p>
        </w:tc>
        <w:tc>
          <w:tcPr>
            <w:tcW w:w="1738" w:type="dxa"/>
            <w:vAlign w:val="bottom"/>
          </w:tcPr>
          <w:p w14:paraId="65C11919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23000</w:t>
            </w:r>
          </w:p>
          <w:p w14:paraId="7483F442" w14:textId="5E43AFEE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[8700 - 42000]</w:t>
            </w:r>
          </w:p>
        </w:tc>
      </w:tr>
      <w:tr w:rsidR="00132EC0" w:rsidRPr="00A82DF7" w14:paraId="4D57D7DE" w14:textId="77777777" w:rsidTr="0011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16" w:type="dxa"/>
            <w:vMerge/>
            <w:vAlign w:val="center"/>
            <w:hideMark/>
          </w:tcPr>
          <w:p w14:paraId="49577157" w14:textId="77777777" w:rsidR="00132EC0" w:rsidRPr="00EA733F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3AA3EAD3" w14:textId="0E8EC971" w:rsidR="00132EC0" w:rsidRPr="00C03C95" w:rsidRDefault="00132EC0" w:rsidP="00132EC0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C03C95">
              <w:rPr>
                <w:b/>
                <w:sz w:val="20"/>
              </w:rPr>
              <w:t>µ = 10</w:t>
            </w:r>
            <w:r>
              <w:rPr>
                <w:b/>
                <w:sz w:val="20"/>
                <w:vertAlign w:val="superscript"/>
              </w:rPr>
              <w:t>-5</w:t>
            </w:r>
          </w:p>
        </w:tc>
        <w:tc>
          <w:tcPr>
            <w:tcW w:w="1738" w:type="dxa"/>
            <w:vAlign w:val="bottom"/>
          </w:tcPr>
          <w:p w14:paraId="3D7480C9" w14:textId="12990F72" w:rsidR="00132EC0" w:rsidRPr="008665B9" w:rsidRDefault="00132EC0" w:rsidP="00132EC0">
            <w:pPr>
              <w:ind w:firstLine="1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 [2.4 - 150]</w:t>
            </w:r>
          </w:p>
        </w:tc>
        <w:tc>
          <w:tcPr>
            <w:tcW w:w="1738" w:type="dxa"/>
            <w:vAlign w:val="bottom"/>
          </w:tcPr>
          <w:p w14:paraId="397D7A95" w14:textId="2D4F1BB9" w:rsidR="00132EC0" w:rsidRPr="008665B9" w:rsidRDefault="00132EC0" w:rsidP="00132E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 [-1.3 - 8.5]</w:t>
            </w:r>
          </w:p>
        </w:tc>
        <w:tc>
          <w:tcPr>
            <w:tcW w:w="1738" w:type="dxa"/>
            <w:vAlign w:val="bottom"/>
          </w:tcPr>
          <w:p w14:paraId="1DD47E9F" w14:textId="1CFCBFCB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[1.1 - 2.6]</w:t>
            </w:r>
          </w:p>
        </w:tc>
        <w:tc>
          <w:tcPr>
            <w:tcW w:w="1738" w:type="dxa"/>
            <w:vAlign w:val="bottom"/>
          </w:tcPr>
          <w:p w14:paraId="7C0A6117" w14:textId="3F4CB9AB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 [-7.5 - 17]</w:t>
            </w:r>
          </w:p>
        </w:tc>
        <w:tc>
          <w:tcPr>
            <w:tcW w:w="1738" w:type="dxa"/>
            <w:vAlign w:val="bottom"/>
          </w:tcPr>
          <w:p w14:paraId="7DB31A14" w14:textId="77777777" w:rsidR="00132EC0" w:rsidRDefault="00132EC0" w:rsidP="00132EC0">
            <w:pPr>
              <w:ind w:firstLine="32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21000</w:t>
            </w:r>
          </w:p>
          <w:p w14:paraId="353BAC90" w14:textId="2393F1E1" w:rsidR="00132EC0" w:rsidRPr="008665B9" w:rsidRDefault="00132EC0" w:rsidP="00132EC0">
            <w:pPr>
              <w:ind w:firstLine="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[-9700 - 39000]</w:t>
            </w:r>
          </w:p>
        </w:tc>
      </w:tr>
      <w:tr w:rsidR="00237CEB" w:rsidRPr="00A82DF7" w14:paraId="1AF79A5F" w14:textId="77777777" w:rsidTr="002D52CE">
        <w:trPr>
          <w:trHeight w:val="227"/>
        </w:trPr>
        <w:tc>
          <w:tcPr>
            <w:tcW w:w="1826" w:type="dxa"/>
            <w:gridSpan w:val="2"/>
            <w:vAlign w:val="center"/>
          </w:tcPr>
          <w:p w14:paraId="3E014B65" w14:textId="77777777" w:rsidR="00237CEB" w:rsidRPr="00EA733F" w:rsidRDefault="00237CEB" w:rsidP="00237CEB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EA733F">
              <w:rPr>
                <w:rFonts w:cs="Times New Roman"/>
                <w:b/>
                <w:sz w:val="20"/>
              </w:rPr>
              <w:t>Model averaging</w:t>
            </w:r>
          </w:p>
        </w:tc>
        <w:tc>
          <w:tcPr>
            <w:tcW w:w="1738" w:type="dxa"/>
            <w:vAlign w:val="bottom"/>
          </w:tcPr>
          <w:p w14:paraId="52B6432C" w14:textId="450100C9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 [0.084 - 120]</w:t>
            </w:r>
          </w:p>
        </w:tc>
        <w:tc>
          <w:tcPr>
            <w:tcW w:w="1738" w:type="dxa"/>
            <w:vAlign w:val="bottom"/>
          </w:tcPr>
          <w:p w14:paraId="353BD4E3" w14:textId="4329BB33" w:rsidR="00237CEB" w:rsidRPr="008665B9" w:rsidRDefault="00237CEB" w:rsidP="00237CEB">
            <w:pPr>
              <w:ind w:firstLine="1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0.95 [0.26 - 5.7]</w:t>
            </w:r>
          </w:p>
        </w:tc>
        <w:tc>
          <w:tcPr>
            <w:tcW w:w="1738" w:type="dxa"/>
            <w:vAlign w:val="bottom"/>
          </w:tcPr>
          <w:p w14:paraId="5362E380" w14:textId="0D8EEFC1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 [1.5 - 2.3]</w:t>
            </w:r>
          </w:p>
        </w:tc>
        <w:tc>
          <w:tcPr>
            <w:tcW w:w="1738" w:type="dxa"/>
            <w:vAlign w:val="bottom"/>
          </w:tcPr>
          <w:p w14:paraId="13BE99F1" w14:textId="226F2934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 [0.84 - 26]</w:t>
            </w:r>
          </w:p>
        </w:tc>
        <w:tc>
          <w:tcPr>
            <w:tcW w:w="1738" w:type="dxa"/>
            <w:vAlign w:val="bottom"/>
          </w:tcPr>
          <w:p w14:paraId="4529B514" w14:textId="77777777" w:rsidR="00237CEB" w:rsidRDefault="00237CEB" w:rsidP="00237CE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5000</w:t>
            </w:r>
          </w:p>
          <w:p w14:paraId="1224705F" w14:textId="25D05A6C" w:rsidR="00237CEB" w:rsidRPr="008665B9" w:rsidRDefault="00237CEB" w:rsidP="00237C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[1600 - 29000]</w:t>
            </w:r>
          </w:p>
        </w:tc>
      </w:tr>
    </w:tbl>
    <w:p w14:paraId="2B6B986B" w14:textId="3336E0EF" w:rsidR="00462E29" w:rsidRDefault="00462E29" w:rsidP="002F0B82"/>
    <w:p w14:paraId="5B6000EC" w14:textId="77777777" w:rsidR="00462E29" w:rsidRDefault="00462E29">
      <w:r>
        <w:br w:type="page"/>
      </w:r>
    </w:p>
    <w:p w14:paraId="1888BDAD" w14:textId="77777777" w:rsidR="00462E29" w:rsidRDefault="00462E29" w:rsidP="002F0B82">
      <w:pPr>
        <w:sectPr w:rsidR="00462E29" w:rsidSect="00654B6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0F444F" w14:textId="1B53DE62" w:rsidR="00462E29" w:rsidRDefault="00CB5B4F" w:rsidP="00462E2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In humans, it </w:t>
      </w:r>
      <w:proofErr w:type="gramStart"/>
      <w:r>
        <w:rPr>
          <w:rFonts w:eastAsia="Times New Roman" w:cs="Times New Roman"/>
          <w:szCs w:val="24"/>
        </w:rPr>
        <w:t>has been reported</w:t>
      </w:r>
      <w:proofErr w:type="gramEnd"/>
      <w:r>
        <w:rPr>
          <w:rFonts w:eastAsia="Times New Roman" w:cs="Times New Roman"/>
          <w:szCs w:val="24"/>
        </w:rPr>
        <w:t xml:space="preserve"> that 1% of nasopharyngeal epithelial cells express the ACE2 receptor at their surface. However, another protein, TMPRSS2,</w:t>
      </w:r>
      <w:r w:rsidR="00E15680">
        <w:rPr>
          <w:rFonts w:eastAsia="Times New Roman" w:cs="Times New Roman"/>
          <w:szCs w:val="24"/>
        </w:rPr>
        <w:t xml:space="preserve"> </w:t>
      </w:r>
      <w:proofErr w:type="gramStart"/>
      <w:r w:rsidR="00E15680">
        <w:rPr>
          <w:rFonts w:eastAsia="Times New Roman" w:cs="Times New Roman"/>
          <w:szCs w:val="24"/>
        </w:rPr>
        <w:t>is also needed</w:t>
      </w:r>
      <w:proofErr w:type="gramEnd"/>
      <w:r w:rsidR="00E15680">
        <w:rPr>
          <w:rFonts w:eastAsia="Times New Roman" w:cs="Times New Roman"/>
          <w:szCs w:val="24"/>
        </w:rPr>
        <w:t xml:space="preserve"> to ensure viral entry.</w:t>
      </w:r>
      <w:r>
        <w:rPr>
          <w:rFonts w:eastAsia="Times New Roman" w:cs="Times New Roman"/>
          <w:szCs w:val="24"/>
        </w:rPr>
        <w:t xml:space="preserve"> </w:t>
      </w:r>
      <w:r w:rsidR="00E15680">
        <w:rPr>
          <w:rFonts w:eastAsia="Times New Roman" w:cs="Times New Roman"/>
          <w:szCs w:val="24"/>
        </w:rPr>
        <w:t>Thus, we assumed i</w:t>
      </w:r>
      <w:r>
        <w:rPr>
          <w:rFonts w:eastAsia="Times New Roman" w:cs="Times New Roman"/>
          <w:szCs w:val="24"/>
        </w:rPr>
        <w:t xml:space="preserve">n the main analysis that 0.1% of target cells co-expressed </w:t>
      </w:r>
      <w:r w:rsidR="00E15680">
        <w:rPr>
          <w:rFonts w:eastAsia="Times New Roman" w:cs="Times New Roman"/>
          <w:szCs w:val="24"/>
        </w:rPr>
        <w:t>both proteins.</w:t>
      </w:r>
      <w:r>
        <w:rPr>
          <w:rFonts w:eastAsia="Times New Roman" w:cs="Times New Roman"/>
          <w:szCs w:val="24"/>
        </w:rPr>
        <w:t xml:space="preserve"> </w:t>
      </w:r>
      <w:r w:rsidR="00E15680">
        <w:rPr>
          <w:rFonts w:eastAsia="Times New Roman" w:cs="Times New Roman"/>
          <w:szCs w:val="24"/>
        </w:rPr>
        <w:t>Here we present a comparison of the parameters estimates obtained with 1 and 0.1%.</w:t>
      </w:r>
    </w:p>
    <w:p w14:paraId="7B870687" w14:textId="2653F618" w:rsidR="00E15680" w:rsidRDefault="00E15680" w:rsidP="00462E2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Assuming</w:t>
      </w:r>
      <w:r w:rsidRPr="003E44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1%</w:t>
      </w:r>
      <w:r w:rsidRPr="003E44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leads to a </w:t>
      </w:r>
      <w:r w:rsidRPr="003E44F3">
        <w:rPr>
          <w:rFonts w:eastAsia="Times New Roman" w:cs="Times New Roman"/>
          <w:szCs w:val="24"/>
        </w:rPr>
        <w:t>de</w:t>
      </w:r>
      <w:r>
        <w:rPr>
          <w:rFonts w:eastAsia="Times New Roman" w:cs="Times New Roman"/>
          <w:szCs w:val="24"/>
        </w:rPr>
        <w:t>crease</w:t>
      </w:r>
      <w:r w:rsidRPr="003E44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of </w:t>
      </w:r>
      <w:r w:rsidRPr="003E44F3">
        <w:rPr>
          <w:rFonts w:eastAsia="Times New Roman" w:cs="Times New Roman"/>
          <w:szCs w:val="24"/>
        </w:rPr>
        <w:t xml:space="preserve">the value of </w:t>
      </w:r>
      <w:r w:rsidRPr="00E15680">
        <w:rPr>
          <w:rFonts w:eastAsia="Times New Roman" w:cs="Times New Roman"/>
          <w:i/>
          <w:szCs w:val="24"/>
        </w:rPr>
        <w:t>p</w:t>
      </w:r>
      <w:r w:rsidRPr="003E44F3">
        <w:rPr>
          <w:rFonts w:eastAsia="Times New Roman" w:cs="Times New Roman"/>
          <w:szCs w:val="24"/>
        </w:rPr>
        <w:t xml:space="preserve"> by a factor 10</w:t>
      </w:r>
      <w:r>
        <w:rPr>
          <w:rFonts w:eastAsia="Times New Roman" w:cs="Times New Roman"/>
          <w:szCs w:val="24"/>
        </w:rPr>
        <w:t xml:space="preserve"> (but </w:t>
      </w:r>
      <w:proofErr w:type="gramStart"/>
      <w:r>
        <w:rPr>
          <w:rFonts w:eastAsia="Times New Roman" w:cs="Times New Roman"/>
          <w:szCs w:val="24"/>
        </w:rPr>
        <w:t xml:space="preserve">constant </w:t>
      </w:r>
      <w:proofErr w:type="gramEnd"/>
      <m:oMath>
        <m:r>
          <w:rPr>
            <w:rFonts w:ascii="Cambria Math" w:eastAsia="Times New Roman" w:hAnsi="Cambria Math" w:cs="Times New Roman"/>
            <w:szCs w:val="24"/>
          </w:rPr>
          <m:t>p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0</m:t>
            </m:r>
          </m:sub>
        </m:sSub>
      </m:oMath>
      <w:r>
        <w:rPr>
          <w:rFonts w:eastAsia="Times New Roman" w:cs="Times New Roman"/>
          <w:szCs w:val="24"/>
        </w:rPr>
        <w:t>)</w:t>
      </w:r>
      <w:r w:rsidRPr="003E44F3">
        <w:rPr>
          <w:rFonts w:eastAsia="Times New Roman" w:cs="Times New Roman"/>
          <w:szCs w:val="24"/>
        </w:rPr>
        <w:t xml:space="preserve">. Consequently, this leads to a much lower estimate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</w:rPr>
              <m:t>μp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δ</m:t>
            </m:r>
          </m:den>
        </m:f>
      </m:oMath>
      <w:r w:rsidRPr="003E44F3">
        <w:rPr>
          <w:rFonts w:eastAsia="Times New Roman" w:cs="Times New Roman"/>
          <w:szCs w:val="24"/>
        </w:rPr>
        <w:t xml:space="preserve"> w</w:t>
      </w:r>
      <w:r>
        <w:rPr>
          <w:rFonts w:eastAsia="Times New Roman" w:cs="Times New Roman"/>
          <w:szCs w:val="24"/>
        </w:rPr>
        <w:t>hich becomes &lt;</w:t>
      </w:r>
      <w:proofErr w:type="gramStart"/>
      <w:r>
        <w:rPr>
          <w:rFonts w:eastAsia="Times New Roman" w:cs="Times New Roman"/>
          <w:szCs w:val="24"/>
        </w:rPr>
        <w:t>1</w:t>
      </w:r>
      <w:proofErr w:type="gramEnd"/>
      <w:r>
        <w:rPr>
          <w:rFonts w:eastAsia="Times New Roman" w:cs="Times New Roman"/>
          <w:szCs w:val="24"/>
        </w:rPr>
        <w:t xml:space="preserve">. In other words, </w:t>
      </w:r>
      <w:r w:rsidRPr="003E44F3">
        <w:rPr>
          <w:rFonts w:eastAsia="Times New Roman" w:cs="Times New Roman"/>
          <w:szCs w:val="24"/>
        </w:rPr>
        <w:t xml:space="preserve">the burst size of infected virus is lower than </w:t>
      </w:r>
      <w:proofErr w:type="gramStart"/>
      <w:r w:rsidRPr="003E44F3">
        <w:rPr>
          <w:rFonts w:eastAsia="Times New Roman" w:cs="Times New Roman"/>
          <w:szCs w:val="24"/>
        </w:rPr>
        <w:t>1</w:t>
      </w:r>
      <w:proofErr w:type="gramEnd"/>
      <w:r w:rsidRPr="003E44F3">
        <w:rPr>
          <w:rFonts w:eastAsia="Times New Roman" w:cs="Times New Roman"/>
          <w:szCs w:val="24"/>
        </w:rPr>
        <w:t xml:space="preserve"> (see Table below), which is not consistent with the order of magnitude found for R</w:t>
      </w:r>
      <w:r>
        <w:rPr>
          <w:rFonts w:eastAsia="Times New Roman" w:cs="Times New Roman"/>
          <w:szCs w:val="24"/>
          <w:vertAlign w:val="subscript"/>
        </w:rPr>
        <w:t>0</w:t>
      </w:r>
      <w:r w:rsidRPr="003E44F3">
        <w:rPr>
          <w:rFonts w:eastAsia="Times New Roman" w:cs="Times New Roman"/>
          <w:szCs w:val="24"/>
        </w:rPr>
        <w:t>. Thus, we think that proportions of infected cells higher than 0.1% may underestimate the burst size of virus</w:t>
      </w:r>
      <w:r>
        <w:rPr>
          <w:rFonts w:eastAsia="Times New Roman" w:cs="Times New Roman"/>
          <w:szCs w:val="24"/>
        </w:rPr>
        <w:t>.</w:t>
      </w:r>
    </w:p>
    <w:p w14:paraId="7E14CF81" w14:textId="16C70BA1" w:rsidR="00FC3F5D" w:rsidRPr="003E44F3" w:rsidRDefault="00FC3F5D" w:rsidP="00462E2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</w:rPr>
      </w:pPr>
      <w:r>
        <w:rPr>
          <w:rStyle w:val="TabFigCar"/>
        </w:rPr>
        <w:t xml:space="preserve">Table </w:t>
      </w:r>
      <w:r w:rsidR="007D0AC3">
        <w:rPr>
          <w:rStyle w:val="TabFigCar"/>
        </w:rPr>
        <w:t>D</w:t>
      </w:r>
      <w:r w:rsidRPr="003A7E6B">
        <w:rPr>
          <w:rStyle w:val="TabFigCar"/>
        </w:rPr>
        <w:t>:</w:t>
      </w:r>
      <w:r>
        <w:rPr>
          <w:rStyle w:val="TabFigCar"/>
        </w:rPr>
        <w:t xml:space="preserve"> Comparison of parameter estimates obtained assuming 0.1% or 1% of susceptible target cells.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126"/>
        <w:gridCol w:w="1137"/>
        <w:gridCol w:w="1135"/>
        <w:gridCol w:w="1276"/>
        <w:gridCol w:w="1276"/>
        <w:gridCol w:w="567"/>
        <w:gridCol w:w="567"/>
        <w:gridCol w:w="565"/>
        <w:gridCol w:w="708"/>
        <w:gridCol w:w="703"/>
      </w:tblGrid>
      <w:tr w:rsidR="00462E29" w:rsidRPr="003E44F3" w14:paraId="0DD3FCD9" w14:textId="77777777" w:rsidTr="00462E29">
        <w:trPr>
          <w:trHeight w:val="680"/>
        </w:trPr>
        <w:tc>
          <w:tcPr>
            <w:tcW w:w="621" w:type="pct"/>
          </w:tcPr>
          <w:p w14:paraId="19BC4F69" w14:textId="77777777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62E29">
              <w:rPr>
                <w:rFonts w:eastAsia="Times New Roman" w:cs="Times New Roman"/>
                <w:b/>
                <w:sz w:val="18"/>
                <w:szCs w:val="18"/>
              </w:rPr>
              <w:t>% of cells expressing ACE2</w:t>
            </w:r>
          </w:p>
        </w:tc>
        <w:tc>
          <w:tcPr>
            <w:tcW w:w="627" w:type="pct"/>
          </w:tcPr>
          <w:p w14:paraId="683F3846" w14:textId="6B079E58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N</m:t>
                    </m:r>
                  </m:sub>
                </m:sSub>
              </m:oMath>
            </m:oMathPara>
          </w:p>
          <w:p w14:paraId="5C5EBA0F" w14:textId="20418FAE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(×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626" w:type="pct"/>
          </w:tcPr>
          <w:p w14:paraId="3914A91E" w14:textId="07D3B6E1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</m:t>
                    </m:r>
                  </m:sub>
                </m:sSub>
              </m:oMath>
            </m:oMathPara>
          </w:p>
          <w:p w14:paraId="68A8AB4E" w14:textId="6DE1A823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(×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704" w:type="pct"/>
          </w:tcPr>
          <w:p w14:paraId="29C0AD26" w14:textId="0ADBB105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N,0</m:t>
                    </m:r>
                  </m:sub>
                </m:sSub>
              </m:oMath>
            </m:oMathPara>
          </w:p>
          <w:p w14:paraId="5FBF4E2A" w14:textId="20D1725D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(×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704" w:type="pct"/>
          </w:tcPr>
          <w:p w14:paraId="49268669" w14:textId="35DB86A0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T,0</m:t>
                    </m:r>
                  </m:sub>
                </m:sSub>
              </m:oMath>
            </m:oMathPara>
          </w:p>
          <w:p w14:paraId="65FF4C39" w14:textId="4DC16D21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(×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313" w:type="pct"/>
          </w:tcPr>
          <w:p w14:paraId="0E1C1DFF" w14:textId="4411142F" w:rsidR="00462E29" w:rsidRPr="00462E29" w:rsidRDefault="00462E29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δ</m:t>
                </m:r>
              </m:oMath>
            </m:oMathPara>
          </w:p>
        </w:tc>
        <w:tc>
          <w:tcPr>
            <w:tcW w:w="313" w:type="pct"/>
          </w:tcPr>
          <w:p w14:paraId="67B779B4" w14:textId="7291677D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0,N</m:t>
                    </m:r>
                  </m:sub>
                </m:sSub>
              </m:oMath>
            </m:oMathPara>
          </w:p>
        </w:tc>
        <w:tc>
          <w:tcPr>
            <w:tcW w:w="312" w:type="pct"/>
          </w:tcPr>
          <w:p w14:paraId="04C4E5D5" w14:textId="39D4324A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0,T</m:t>
                    </m:r>
                  </m:sub>
                </m:sSub>
              </m:oMath>
            </m:oMathPara>
          </w:p>
        </w:tc>
        <w:tc>
          <w:tcPr>
            <w:tcW w:w="391" w:type="pct"/>
          </w:tcPr>
          <w:p w14:paraId="10B1BE06" w14:textId="48A6D4F7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δ</m:t>
                    </m:r>
                  </m:den>
                </m:f>
              </m:oMath>
            </m:oMathPara>
          </w:p>
        </w:tc>
        <w:tc>
          <w:tcPr>
            <w:tcW w:w="388" w:type="pct"/>
          </w:tcPr>
          <w:p w14:paraId="0DD3B503" w14:textId="0822AA89" w:rsidR="00462E29" w:rsidRPr="00462E29" w:rsidRDefault="00557780" w:rsidP="0043399E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δ</m:t>
                    </m:r>
                  </m:den>
                </m:f>
              </m:oMath>
            </m:oMathPara>
          </w:p>
        </w:tc>
      </w:tr>
      <w:tr w:rsidR="00462E29" w:rsidRPr="003E44F3" w14:paraId="4485F4B7" w14:textId="77777777" w:rsidTr="00F822C4">
        <w:trPr>
          <w:trHeight w:val="680"/>
        </w:trPr>
        <w:tc>
          <w:tcPr>
            <w:tcW w:w="621" w:type="pct"/>
            <w:vAlign w:val="center"/>
          </w:tcPr>
          <w:p w14:paraId="1897D29F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units</w:t>
            </w:r>
          </w:p>
        </w:tc>
        <w:tc>
          <w:tcPr>
            <w:tcW w:w="627" w:type="pct"/>
            <w:vAlign w:val="center"/>
          </w:tcPr>
          <w:p w14:paraId="1377E3AC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mL/cells/d</w:t>
            </w:r>
          </w:p>
        </w:tc>
        <w:tc>
          <w:tcPr>
            <w:tcW w:w="626" w:type="pct"/>
            <w:vAlign w:val="center"/>
          </w:tcPr>
          <w:p w14:paraId="79660304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mL/cells/d</w:t>
            </w:r>
          </w:p>
        </w:tc>
        <w:tc>
          <w:tcPr>
            <w:tcW w:w="704" w:type="pct"/>
            <w:vAlign w:val="center"/>
          </w:tcPr>
          <w:p w14:paraId="598E9FDF" w14:textId="3959A72E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copies</w:t>
            </w:r>
            <w:r w:rsidRPr="003E44F3">
              <w:rPr>
                <w:rFonts w:eastAsia="Times New Roman" w:cs="Times New Roman"/>
                <w:sz w:val="18"/>
                <w:szCs w:val="18"/>
              </w:rPr>
              <w:t>/cells/d</w:t>
            </w:r>
          </w:p>
        </w:tc>
        <w:tc>
          <w:tcPr>
            <w:tcW w:w="704" w:type="pct"/>
            <w:vAlign w:val="center"/>
          </w:tcPr>
          <w:p w14:paraId="4F980BBF" w14:textId="1882965A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copies</w:t>
            </w:r>
            <w:r w:rsidRPr="003E44F3">
              <w:rPr>
                <w:rFonts w:eastAsia="Times New Roman" w:cs="Times New Roman"/>
                <w:sz w:val="18"/>
                <w:szCs w:val="18"/>
              </w:rPr>
              <w:t>/cells/d</w:t>
            </w:r>
          </w:p>
        </w:tc>
        <w:tc>
          <w:tcPr>
            <w:tcW w:w="313" w:type="pct"/>
            <w:vAlign w:val="center"/>
          </w:tcPr>
          <w:p w14:paraId="17078125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1/d</w:t>
            </w:r>
          </w:p>
        </w:tc>
        <w:tc>
          <w:tcPr>
            <w:tcW w:w="313" w:type="pct"/>
            <w:vAlign w:val="center"/>
          </w:tcPr>
          <w:p w14:paraId="15F22B5B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vAlign w:val="center"/>
          </w:tcPr>
          <w:p w14:paraId="0675FD68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14:paraId="77872CDC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copies/cell</w:t>
            </w:r>
          </w:p>
        </w:tc>
        <w:tc>
          <w:tcPr>
            <w:tcW w:w="388" w:type="pct"/>
            <w:vAlign w:val="center"/>
          </w:tcPr>
          <w:p w14:paraId="17D0E8F6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copies/cell</w:t>
            </w:r>
          </w:p>
        </w:tc>
      </w:tr>
      <w:tr w:rsidR="00462E29" w:rsidRPr="003E44F3" w14:paraId="4084DC98" w14:textId="77777777" w:rsidTr="00F822C4">
        <w:trPr>
          <w:trHeight w:val="680"/>
        </w:trPr>
        <w:tc>
          <w:tcPr>
            <w:tcW w:w="621" w:type="pct"/>
            <w:vAlign w:val="center"/>
          </w:tcPr>
          <w:p w14:paraId="6209F808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0.1%</w:t>
            </w:r>
          </w:p>
        </w:tc>
        <w:tc>
          <w:tcPr>
            <w:tcW w:w="627" w:type="pct"/>
            <w:vAlign w:val="center"/>
          </w:tcPr>
          <w:p w14:paraId="337D25CC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626" w:type="pct"/>
            <w:vAlign w:val="center"/>
          </w:tcPr>
          <w:p w14:paraId="631FC33F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4" w:type="pct"/>
            <w:vAlign w:val="center"/>
          </w:tcPr>
          <w:p w14:paraId="5492344F" w14:textId="77476695" w:rsidR="00462E29" w:rsidRPr="003E44F3" w:rsidRDefault="00ED2312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9.5</w:t>
            </w:r>
          </w:p>
        </w:tc>
        <w:tc>
          <w:tcPr>
            <w:tcW w:w="704" w:type="pct"/>
            <w:vAlign w:val="center"/>
          </w:tcPr>
          <w:p w14:paraId="07ED8E2C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3.9</w:t>
            </w:r>
          </w:p>
        </w:tc>
        <w:tc>
          <w:tcPr>
            <w:tcW w:w="313" w:type="pct"/>
            <w:vAlign w:val="center"/>
          </w:tcPr>
          <w:p w14:paraId="3F73EECC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1.9</w:t>
            </w:r>
          </w:p>
        </w:tc>
        <w:tc>
          <w:tcPr>
            <w:tcW w:w="313" w:type="pct"/>
            <w:vAlign w:val="center"/>
          </w:tcPr>
          <w:p w14:paraId="5D9CE684" w14:textId="775E943E" w:rsidR="00462E29" w:rsidRPr="003E44F3" w:rsidRDefault="00ED2312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312" w:type="pct"/>
            <w:vAlign w:val="center"/>
          </w:tcPr>
          <w:p w14:paraId="6744510F" w14:textId="5EE658F7" w:rsidR="00462E29" w:rsidRPr="003E44F3" w:rsidRDefault="00ED2312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  <w:tc>
          <w:tcPr>
            <w:tcW w:w="391" w:type="pct"/>
            <w:vAlign w:val="center"/>
          </w:tcPr>
          <w:p w14:paraId="42E696FF" w14:textId="5E783B59" w:rsidR="00462E29" w:rsidRPr="003E44F3" w:rsidRDefault="007554D1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388" w:type="pct"/>
            <w:vAlign w:val="center"/>
          </w:tcPr>
          <w:p w14:paraId="233B99B8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</w:tr>
      <w:tr w:rsidR="00462E29" w:rsidRPr="003E44F3" w14:paraId="6DA7CF64" w14:textId="77777777" w:rsidTr="00F822C4">
        <w:trPr>
          <w:trHeight w:val="680"/>
        </w:trPr>
        <w:tc>
          <w:tcPr>
            <w:tcW w:w="621" w:type="pct"/>
            <w:vAlign w:val="center"/>
          </w:tcPr>
          <w:p w14:paraId="440F8843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1%</w:t>
            </w:r>
          </w:p>
        </w:tc>
        <w:tc>
          <w:tcPr>
            <w:tcW w:w="627" w:type="pct"/>
            <w:vAlign w:val="center"/>
          </w:tcPr>
          <w:p w14:paraId="22EB5266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626" w:type="pct"/>
            <w:vAlign w:val="center"/>
          </w:tcPr>
          <w:p w14:paraId="38C4E7A6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4" w:type="pct"/>
            <w:vAlign w:val="center"/>
          </w:tcPr>
          <w:p w14:paraId="74F7A7EA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8.3</w:t>
            </w:r>
          </w:p>
        </w:tc>
        <w:tc>
          <w:tcPr>
            <w:tcW w:w="704" w:type="pct"/>
            <w:vAlign w:val="center"/>
          </w:tcPr>
          <w:p w14:paraId="5BF1A954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3.6</w:t>
            </w:r>
          </w:p>
        </w:tc>
        <w:tc>
          <w:tcPr>
            <w:tcW w:w="313" w:type="pct"/>
            <w:vAlign w:val="center"/>
          </w:tcPr>
          <w:p w14:paraId="60F9D5F4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1.9</w:t>
            </w:r>
          </w:p>
        </w:tc>
        <w:tc>
          <w:tcPr>
            <w:tcW w:w="313" w:type="pct"/>
            <w:vAlign w:val="center"/>
          </w:tcPr>
          <w:p w14:paraId="6B91D4B2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6.8</w:t>
            </w:r>
          </w:p>
        </w:tc>
        <w:tc>
          <w:tcPr>
            <w:tcW w:w="312" w:type="pct"/>
            <w:vAlign w:val="center"/>
          </w:tcPr>
          <w:p w14:paraId="54998F73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E44F3"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391" w:type="pct"/>
            <w:vAlign w:val="center"/>
          </w:tcPr>
          <w:p w14:paraId="22210014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44F3">
              <w:rPr>
                <w:rFonts w:eastAsia="Times New Roman" w:cs="Times New Roman"/>
                <w:b/>
                <w:sz w:val="18"/>
                <w:szCs w:val="18"/>
              </w:rPr>
              <w:t>0.2</w:t>
            </w:r>
          </w:p>
        </w:tc>
        <w:tc>
          <w:tcPr>
            <w:tcW w:w="388" w:type="pct"/>
            <w:vAlign w:val="center"/>
          </w:tcPr>
          <w:p w14:paraId="670CB5D0" w14:textId="77777777" w:rsidR="00462E29" w:rsidRPr="003E44F3" w:rsidRDefault="00462E29" w:rsidP="00F822C4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44F3">
              <w:rPr>
                <w:rFonts w:eastAsia="Times New Roman" w:cs="Times New Roman"/>
                <w:b/>
                <w:sz w:val="18"/>
                <w:szCs w:val="18"/>
              </w:rPr>
              <w:t>0.1</w:t>
            </w:r>
          </w:p>
        </w:tc>
      </w:tr>
    </w:tbl>
    <w:p w14:paraId="09FFBE5E" w14:textId="6D6D6356" w:rsidR="00D42FC1" w:rsidRPr="002F0B82" w:rsidRDefault="00D42FC1" w:rsidP="002F0B82"/>
    <w:sectPr w:rsidR="00D42FC1" w:rsidRPr="002F0B82" w:rsidSect="00462E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D0C45" w14:textId="77777777" w:rsidR="00557780" w:rsidRDefault="00557780" w:rsidP="0035493F">
      <w:pPr>
        <w:spacing w:after="0" w:line="240" w:lineRule="auto"/>
      </w:pPr>
      <w:r>
        <w:separator/>
      </w:r>
    </w:p>
  </w:endnote>
  <w:endnote w:type="continuationSeparator" w:id="0">
    <w:p w14:paraId="4828020C" w14:textId="77777777" w:rsidR="00557780" w:rsidRDefault="00557780" w:rsidP="0035493F">
      <w:pPr>
        <w:spacing w:after="0" w:line="240" w:lineRule="auto"/>
      </w:pPr>
      <w:r>
        <w:continuationSeparator/>
      </w:r>
    </w:p>
  </w:endnote>
  <w:endnote w:type="continuationNotice" w:id="1">
    <w:p w14:paraId="49A3C512" w14:textId="77777777" w:rsidR="00557780" w:rsidRDefault="0055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233792"/>
      <w:docPartObj>
        <w:docPartGallery w:val="Page Numbers (Bottom of Page)"/>
        <w:docPartUnique/>
      </w:docPartObj>
    </w:sdtPr>
    <w:sdtEndPr/>
    <w:sdtContent>
      <w:p w14:paraId="78A1E0DF" w14:textId="16C0DA7D" w:rsidR="00EA733F" w:rsidRDefault="00EA73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59" w:rsidRPr="00972659">
          <w:rPr>
            <w:noProof/>
            <w:lang w:val="fr-FR"/>
          </w:rPr>
          <w:t>4</w:t>
        </w:r>
        <w:r>
          <w:fldChar w:fldCharType="end"/>
        </w:r>
      </w:p>
    </w:sdtContent>
  </w:sdt>
  <w:p w14:paraId="753CB33C" w14:textId="77777777" w:rsidR="00EA733F" w:rsidRDefault="00EA7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E52F" w14:textId="77777777" w:rsidR="00557780" w:rsidRDefault="00557780" w:rsidP="0035493F">
      <w:pPr>
        <w:spacing w:after="0" w:line="240" w:lineRule="auto"/>
      </w:pPr>
      <w:r>
        <w:separator/>
      </w:r>
    </w:p>
  </w:footnote>
  <w:footnote w:type="continuationSeparator" w:id="0">
    <w:p w14:paraId="70EF88DA" w14:textId="77777777" w:rsidR="00557780" w:rsidRDefault="00557780" w:rsidP="0035493F">
      <w:pPr>
        <w:spacing w:after="0" w:line="240" w:lineRule="auto"/>
      </w:pPr>
      <w:r>
        <w:continuationSeparator/>
      </w:r>
    </w:p>
  </w:footnote>
  <w:footnote w:type="continuationNotice" w:id="1">
    <w:p w14:paraId="3972F123" w14:textId="77777777" w:rsidR="00557780" w:rsidRDefault="00557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C72"/>
    <w:multiLevelType w:val="hybridMultilevel"/>
    <w:tmpl w:val="DA06A1CA"/>
    <w:lvl w:ilvl="0" w:tplc="EE028432">
      <w:start w:val="1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8"/>
    <w:rsid w:val="00014934"/>
    <w:rsid w:val="000317BE"/>
    <w:rsid w:val="0004185C"/>
    <w:rsid w:val="00042F70"/>
    <w:rsid w:val="00046DD2"/>
    <w:rsid w:val="000755E7"/>
    <w:rsid w:val="00077CD3"/>
    <w:rsid w:val="00093444"/>
    <w:rsid w:val="000A064E"/>
    <w:rsid w:val="000A5318"/>
    <w:rsid w:val="000F6C1E"/>
    <w:rsid w:val="00107A9B"/>
    <w:rsid w:val="00111B3D"/>
    <w:rsid w:val="001242C4"/>
    <w:rsid w:val="00132EC0"/>
    <w:rsid w:val="001363C6"/>
    <w:rsid w:val="0014780B"/>
    <w:rsid w:val="00161345"/>
    <w:rsid w:val="00163AF6"/>
    <w:rsid w:val="00181B8B"/>
    <w:rsid w:val="00182716"/>
    <w:rsid w:val="001A48BE"/>
    <w:rsid w:val="001B650D"/>
    <w:rsid w:val="001C264E"/>
    <w:rsid w:val="001D7D61"/>
    <w:rsid w:val="00204881"/>
    <w:rsid w:val="00220552"/>
    <w:rsid w:val="002308FE"/>
    <w:rsid w:val="00237CEB"/>
    <w:rsid w:val="00263FA5"/>
    <w:rsid w:val="00281C79"/>
    <w:rsid w:val="002A6A51"/>
    <w:rsid w:val="002C0DCC"/>
    <w:rsid w:val="002F0B82"/>
    <w:rsid w:val="002F1CD8"/>
    <w:rsid w:val="002F73D0"/>
    <w:rsid w:val="00301AB8"/>
    <w:rsid w:val="00307D59"/>
    <w:rsid w:val="00325426"/>
    <w:rsid w:val="0034425E"/>
    <w:rsid w:val="00351B06"/>
    <w:rsid w:val="0035493F"/>
    <w:rsid w:val="00356E3C"/>
    <w:rsid w:val="00363CB4"/>
    <w:rsid w:val="00373B14"/>
    <w:rsid w:val="003937C7"/>
    <w:rsid w:val="003A26C2"/>
    <w:rsid w:val="003A7E6B"/>
    <w:rsid w:val="003B3F17"/>
    <w:rsid w:val="003E12B9"/>
    <w:rsid w:val="003E7467"/>
    <w:rsid w:val="004179FB"/>
    <w:rsid w:val="004215B3"/>
    <w:rsid w:val="00423014"/>
    <w:rsid w:val="00427B39"/>
    <w:rsid w:val="00434A13"/>
    <w:rsid w:val="00443209"/>
    <w:rsid w:val="00450A2B"/>
    <w:rsid w:val="00457C55"/>
    <w:rsid w:val="004602D0"/>
    <w:rsid w:val="0046224E"/>
    <w:rsid w:val="00462E29"/>
    <w:rsid w:val="00471732"/>
    <w:rsid w:val="0047395E"/>
    <w:rsid w:val="004B602B"/>
    <w:rsid w:val="004C14EA"/>
    <w:rsid w:val="004C43FC"/>
    <w:rsid w:val="004E5540"/>
    <w:rsid w:val="004E6764"/>
    <w:rsid w:val="00506851"/>
    <w:rsid w:val="005134D4"/>
    <w:rsid w:val="00514A16"/>
    <w:rsid w:val="00555930"/>
    <w:rsid w:val="00557780"/>
    <w:rsid w:val="00577A17"/>
    <w:rsid w:val="00583053"/>
    <w:rsid w:val="00590076"/>
    <w:rsid w:val="005960C9"/>
    <w:rsid w:val="005A0D1C"/>
    <w:rsid w:val="005D457A"/>
    <w:rsid w:val="00601BB1"/>
    <w:rsid w:val="006157EF"/>
    <w:rsid w:val="00642BEB"/>
    <w:rsid w:val="00654B66"/>
    <w:rsid w:val="006777AB"/>
    <w:rsid w:val="00687808"/>
    <w:rsid w:val="00687BC6"/>
    <w:rsid w:val="00695F1A"/>
    <w:rsid w:val="006B0383"/>
    <w:rsid w:val="006C47A4"/>
    <w:rsid w:val="006F4E27"/>
    <w:rsid w:val="0070028A"/>
    <w:rsid w:val="00703A29"/>
    <w:rsid w:val="00707BF1"/>
    <w:rsid w:val="00714B6D"/>
    <w:rsid w:val="00717FB0"/>
    <w:rsid w:val="007554D1"/>
    <w:rsid w:val="00757495"/>
    <w:rsid w:val="00770340"/>
    <w:rsid w:val="00780871"/>
    <w:rsid w:val="00781D0F"/>
    <w:rsid w:val="007904BA"/>
    <w:rsid w:val="0079116A"/>
    <w:rsid w:val="007A31E2"/>
    <w:rsid w:val="007B1A20"/>
    <w:rsid w:val="007B32A1"/>
    <w:rsid w:val="007C3C87"/>
    <w:rsid w:val="007D0AC3"/>
    <w:rsid w:val="007D0DAF"/>
    <w:rsid w:val="007E4A21"/>
    <w:rsid w:val="007E7C78"/>
    <w:rsid w:val="007F22AB"/>
    <w:rsid w:val="008071A1"/>
    <w:rsid w:val="00846A20"/>
    <w:rsid w:val="0084764E"/>
    <w:rsid w:val="0085513D"/>
    <w:rsid w:val="008665B9"/>
    <w:rsid w:val="00881649"/>
    <w:rsid w:val="0089244B"/>
    <w:rsid w:val="00897961"/>
    <w:rsid w:val="008A3C48"/>
    <w:rsid w:val="008B58A5"/>
    <w:rsid w:val="008E522E"/>
    <w:rsid w:val="008F5D4F"/>
    <w:rsid w:val="009025A6"/>
    <w:rsid w:val="00947B7D"/>
    <w:rsid w:val="00947DF7"/>
    <w:rsid w:val="00972659"/>
    <w:rsid w:val="00994F18"/>
    <w:rsid w:val="009A77AC"/>
    <w:rsid w:val="009C63D0"/>
    <w:rsid w:val="00A15687"/>
    <w:rsid w:val="00A222F2"/>
    <w:rsid w:val="00A23D7B"/>
    <w:rsid w:val="00A26277"/>
    <w:rsid w:val="00A36488"/>
    <w:rsid w:val="00A5478A"/>
    <w:rsid w:val="00A65A8A"/>
    <w:rsid w:val="00A76824"/>
    <w:rsid w:val="00A83101"/>
    <w:rsid w:val="00A900F2"/>
    <w:rsid w:val="00A95355"/>
    <w:rsid w:val="00AB1EA4"/>
    <w:rsid w:val="00AD3B82"/>
    <w:rsid w:val="00AD41AD"/>
    <w:rsid w:val="00AD762E"/>
    <w:rsid w:val="00AE5BE7"/>
    <w:rsid w:val="00AF6298"/>
    <w:rsid w:val="00B80651"/>
    <w:rsid w:val="00B8310A"/>
    <w:rsid w:val="00BA31CC"/>
    <w:rsid w:val="00BA71AA"/>
    <w:rsid w:val="00BB781A"/>
    <w:rsid w:val="00BC15B8"/>
    <w:rsid w:val="00BD2495"/>
    <w:rsid w:val="00C03C95"/>
    <w:rsid w:val="00C06F6C"/>
    <w:rsid w:val="00C9711F"/>
    <w:rsid w:val="00CB0957"/>
    <w:rsid w:val="00CB5B4F"/>
    <w:rsid w:val="00CC0F6B"/>
    <w:rsid w:val="00CC5A8F"/>
    <w:rsid w:val="00CD28E5"/>
    <w:rsid w:val="00CF0FD4"/>
    <w:rsid w:val="00D15636"/>
    <w:rsid w:val="00D21B7D"/>
    <w:rsid w:val="00D42FC1"/>
    <w:rsid w:val="00D453C7"/>
    <w:rsid w:val="00D46F9E"/>
    <w:rsid w:val="00D62FB2"/>
    <w:rsid w:val="00D63343"/>
    <w:rsid w:val="00D643A9"/>
    <w:rsid w:val="00D64587"/>
    <w:rsid w:val="00D77A6E"/>
    <w:rsid w:val="00D8540A"/>
    <w:rsid w:val="00D97ACE"/>
    <w:rsid w:val="00DA31C7"/>
    <w:rsid w:val="00DB2A19"/>
    <w:rsid w:val="00DB3608"/>
    <w:rsid w:val="00DC2AD9"/>
    <w:rsid w:val="00DD4262"/>
    <w:rsid w:val="00DF4844"/>
    <w:rsid w:val="00E15680"/>
    <w:rsid w:val="00E3310D"/>
    <w:rsid w:val="00E446BC"/>
    <w:rsid w:val="00E453B4"/>
    <w:rsid w:val="00E73925"/>
    <w:rsid w:val="00EA0428"/>
    <w:rsid w:val="00EA733F"/>
    <w:rsid w:val="00EB0AC7"/>
    <w:rsid w:val="00EB1FB2"/>
    <w:rsid w:val="00EC0283"/>
    <w:rsid w:val="00EC03B2"/>
    <w:rsid w:val="00EC1A43"/>
    <w:rsid w:val="00EC544F"/>
    <w:rsid w:val="00ED2312"/>
    <w:rsid w:val="00ED509D"/>
    <w:rsid w:val="00EE0D8C"/>
    <w:rsid w:val="00EE7890"/>
    <w:rsid w:val="00F20F52"/>
    <w:rsid w:val="00F221E2"/>
    <w:rsid w:val="00F30EC5"/>
    <w:rsid w:val="00F50EA0"/>
    <w:rsid w:val="00F516CD"/>
    <w:rsid w:val="00F554C1"/>
    <w:rsid w:val="00F63E8A"/>
    <w:rsid w:val="00F747DE"/>
    <w:rsid w:val="00F822C4"/>
    <w:rsid w:val="00F87406"/>
    <w:rsid w:val="00FA402B"/>
    <w:rsid w:val="00FB141C"/>
    <w:rsid w:val="00FB55CA"/>
    <w:rsid w:val="00FB56C6"/>
    <w:rsid w:val="00FC3F5D"/>
    <w:rsid w:val="00FD00C6"/>
    <w:rsid w:val="00FD0868"/>
    <w:rsid w:val="00FD39C8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9EDB9E"/>
  <w15:chartTrackingRefBased/>
  <w15:docId w15:val="{9D3689A7-EE5B-49B5-9541-D9BC6FA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9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D28E5"/>
    <w:pPr>
      <w:keepNext/>
      <w:keepLines/>
      <w:spacing w:before="480" w:after="24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A48BE"/>
    <w:pPr>
      <w:keepNext/>
      <w:keepLines/>
      <w:spacing w:before="360" w:after="360" w:line="360" w:lineRule="auto"/>
      <w:outlineLvl w:val="1"/>
    </w:pPr>
    <w:rPr>
      <w:rFonts w:eastAsiaTheme="majorEastAsia" w:cstheme="majorBidi"/>
      <w:b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8BE"/>
    <w:pPr>
      <w:keepNext/>
      <w:keepLines/>
      <w:spacing w:before="400" w:after="360" w:line="480" w:lineRule="auto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2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8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48BE"/>
    <w:rPr>
      <w:rFonts w:ascii="Times New Roman" w:eastAsiaTheme="majorEastAsia" w:hAnsi="Times New Roman" w:cstheme="majorBidi"/>
      <w:b/>
      <w:i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549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93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93F"/>
    <w:rPr>
      <w:rFonts w:ascii="Times New Roman" w:hAnsi="Times New Roman"/>
      <w:sz w:val="24"/>
    </w:rPr>
  </w:style>
  <w:style w:type="character" w:styleId="Numrodeligne">
    <w:name w:val="line number"/>
    <w:basedOn w:val="Policepardfaut"/>
    <w:uiPriority w:val="99"/>
    <w:semiHidden/>
    <w:unhideWhenUsed/>
    <w:rsid w:val="0035493F"/>
  </w:style>
  <w:style w:type="paragraph" w:customStyle="1" w:styleId="Custom">
    <w:name w:val="Custom"/>
    <w:basedOn w:val="Normal"/>
    <w:link w:val="CustomCar"/>
    <w:qFormat/>
    <w:rsid w:val="004179FB"/>
    <w:pPr>
      <w:spacing w:line="480" w:lineRule="auto"/>
      <w:jc w:val="both"/>
    </w:pPr>
  </w:style>
  <w:style w:type="paragraph" w:customStyle="1" w:styleId="T2">
    <w:name w:val="T2"/>
    <w:basedOn w:val="Titre2"/>
    <w:link w:val="T2Car"/>
    <w:qFormat/>
    <w:rsid w:val="004179FB"/>
  </w:style>
  <w:style w:type="character" w:customStyle="1" w:styleId="CustomCar">
    <w:name w:val="Custom Car"/>
    <w:basedOn w:val="Policepardfaut"/>
    <w:link w:val="Custom"/>
    <w:rsid w:val="004179FB"/>
    <w:rPr>
      <w:rFonts w:ascii="Times New Roman" w:hAnsi="Times New Roman"/>
      <w:sz w:val="24"/>
    </w:rPr>
  </w:style>
  <w:style w:type="paragraph" w:customStyle="1" w:styleId="T1">
    <w:name w:val="T1"/>
    <w:basedOn w:val="Titre1"/>
    <w:link w:val="T1Car"/>
    <w:qFormat/>
    <w:rsid w:val="004179FB"/>
    <w:pPr>
      <w:jc w:val="both"/>
    </w:pPr>
  </w:style>
  <w:style w:type="character" w:customStyle="1" w:styleId="T2Car">
    <w:name w:val="T2 Car"/>
    <w:basedOn w:val="Titre2Car"/>
    <w:link w:val="T2"/>
    <w:rsid w:val="004179FB"/>
    <w:rPr>
      <w:rFonts w:ascii="Times New Roman" w:eastAsiaTheme="majorEastAsia" w:hAnsi="Times New Roman" w:cstheme="majorBidi"/>
      <w:b/>
      <w:i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D762E"/>
    <w:rPr>
      <w:color w:val="808080"/>
    </w:rPr>
  </w:style>
  <w:style w:type="character" w:customStyle="1" w:styleId="T1Car">
    <w:name w:val="T1 Car"/>
    <w:basedOn w:val="Titre1Car"/>
    <w:link w:val="T1"/>
    <w:rsid w:val="004179FB"/>
    <w:rPr>
      <w:rFonts w:ascii="Times New Roman" w:eastAsiaTheme="majorEastAsia" w:hAnsi="Times New Roman" w:cstheme="majorBidi"/>
      <w:b/>
      <w:sz w:val="28"/>
      <w:szCs w:val="32"/>
    </w:rPr>
  </w:style>
  <w:style w:type="table" w:styleId="Grilledutableau">
    <w:name w:val="Table Grid"/>
    <w:basedOn w:val="TableauNormal"/>
    <w:uiPriority w:val="39"/>
    <w:rsid w:val="003A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3B1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A48BE"/>
    <w:rPr>
      <w:rFonts w:ascii="Times New Roman" w:eastAsiaTheme="majorEastAsia" w:hAnsi="Times New Roman" w:cstheme="majorBidi"/>
      <w:i/>
      <w:sz w:val="24"/>
      <w:szCs w:val="24"/>
    </w:rPr>
  </w:style>
  <w:style w:type="paragraph" w:customStyle="1" w:styleId="T3">
    <w:name w:val="T3"/>
    <w:basedOn w:val="Titre3"/>
    <w:link w:val="T3Car"/>
    <w:qFormat/>
    <w:rsid w:val="001A48BE"/>
  </w:style>
  <w:style w:type="character" w:customStyle="1" w:styleId="T3Car">
    <w:name w:val="T3 Car"/>
    <w:basedOn w:val="Titre3Car"/>
    <w:link w:val="T3"/>
    <w:rsid w:val="001A48BE"/>
    <w:rPr>
      <w:rFonts w:ascii="Times New Roman" w:eastAsiaTheme="majorEastAsia" w:hAnsi="Times New Roman" w:cstheme="majorBidi"/>
      <w:i/>
      <w:sz w:val="24"/>
      <w:szCs w:val="24"/>
    </w:rPr>
  </w:style>
  <w:style w:type="table" w:styleId="Tableausimple2">
    <w:name w:val="Plain Table 2"/>
    <w:basedOn w:val="TableauNormal"/>
    <w:uiPriority w:val="42"/>
    <w:rsid w:val="004E55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gende">
    <w:name w:val="caption"/>
    <w:basedOn w:val="Normal"/>
    <w:next w:val="Normal"/>
    <w:uiPriority w:val="35"/>
    <w:semiHidden/>
    <w:unhideWhenUsed/>
    <w:qFormat/>
    <w:rsid w:val="00182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Fig">
    <w:name w:val="Tab&amp;Fig"/>
    <w:basedOn w:val="T3"/>
    <w:link w:val="TabFigCar"/>
    <w:qFormat/>
    <w:rsid w:val="00182716"/>
    <w:pPr>
      <w:spacing w:line="240" w:lineRule="auto"/>
    </w:pPr>
    <w:rPr>
      <w:b/>
      <w:i w:val="0"/>
      <w:u w:val="single"/>
    </w:rPr>
  </w:style>
  <w:style w:type="character" w:customStyle="1" w:styleId="TabFigCar">
    <w:name w:val="Tab&amp;Fig Car"/>
    <w:basedOn w:val="Policepardfaut"/>
    <w:link w:val="TabFig"/>
    <w:rsid w:val="00182716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8271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E0D8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B0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09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0957"/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95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82"/>
    <w:rPr>
      <w:rFonts w:ascii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F0B82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2F0B82"/>
    <w:pPr>
      <w:tabs>
        <w:tab w:val="left" w:pos="384"/>
      </w:tabs>
      <w:spacing w:after="240" w:line="240" w:lineRule="auto"/>
      <w:ind w:left="384" w:hanging="384"/>
    </w:pPr>
  </w:style>
  <w:style w:type="table" w:customStyle="1" w:styleId="TableauGrille6Couleur1">
    <w:name w:val="Tableau Grille 6 Couleur1"/>
    <w:basedOn w:val="TableauNormal"/>
    <w:uiPriority w:val="51"/>
    <w:rsid w:val="00093444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B00C-F36F-43CB-99A0-1389899D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11</cp:revision>
  <dcterms:created xsi:type="dcterms:W3CDTF">2020-12-10T18:13:00Z</dcterms:created>
  <dcterms:modified xsi:type="dcterms:W3CDTF">2021-03-05T23:24:00Z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id="rTbHskuh"/&gt;&lt;style id="http://www.zotero.org/styles/vancouver-author-date" locale="en-US" hasBibliography="1" bibliographyStyleHasBeenSet="0"/&gt;&lt;prefs&gt;&lt;pref name="fieldType" value="Field"/&gt;&lt;/prefs&gt;</vt:lpwstr>
  </property>
  <property fmtid="{D5CDD505-2E9C-101B-9397-08002B2CF9AE}" pid="3" name="ZOTERO_PREF_2">
    <vt:lpwstr>&lt;/data&gt;</vt:lpwstr>
  </property>
</Properties>
</file>