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8" w:rsidRDefault="000F5878" w:rsidP="000F58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27005">
        <w:rPr>
          <w:rFonts w:ascii="Times New Roman" w:hAnsi="Times New Roman"/>
          <w:b/>
          <w:sz w:val="24"/>
          <w:szCs w:val="24"/>
          <w:lang w:val="en-US"/>
        </w:rPr>
        <w:t>Results</w:t>
      </w:r>
    </w:p>
    <w:p w:rsidR="000F5878" w:rsidRPr="00370098" w:rsidRDefault="000F5878" w:rsidP="000F5878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70098">
        <w:rPr>
          <w:rFonts w:ascii="Times New Roman" w:hAnsi="Times New Roman"/>
          <w:b/>
          <w:sz w:val="24"/>
          <w:szCs w:val="24"/>
          <w:lang w:val="en-US"/>
        </w:rPr>
        <w:t>NMR Data</w:t>
      </w:r>
    </w:p>
    <w:p w:rsidR="000F5878" w:rsidRPr="00370098" w:rsidRDefault="000F5878" w:rsidP="000F587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H NMR spectra were recorded on a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Bruker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250 MHz instrument using 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>d6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-DMSO solvent.  </w:t>
      </w:r>
    </w:p>
    <w:p w:rsidR="000F5878" w:rsidRPr="00370098" w:rsidRDefault="000F5878" w:rsidP="000F587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70098">
        <w:rPr>
          <w:rFonts w:ascii="Times New Roman" w:hAnsi="Times New Roman"/>
          <w:b/>
          <w:sz w:val="24"/>
          <w:szCs w:val="24"/>
          <w:lang w:val="en-US"/>
        </w:rPr>
        <w:t>Structure elucidation</w:t>
      </w:r>
    </w:p>
    <w:p w:rsidR="000F5878" w:rsidRPr="00370098" w:rsidRDefault="000F5878" w:rsidP="000F587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>T23:4</w:t>
      </w:r>
      <w:proofErr w:type="gramStart"/>
      <w:r w:rsidRPr="00370098">
        <w:rPr>
          <w:rFonts w:ascii="Times New Roman" w:hAnsi="Times New Roman"/>
          <w:sz w:val="24"/>
          <w:szCs w:val="24"/>
          <w:lang w:val="en-US"/>
        </w:rPr>
        <w:t>,4'</w:t>
      </w:r>
      <w:proofErr w:type="gramEnd"/>
      <w:r w:rsidRPr="00370098">
        <w:rPr>
          <w:rFonts w:ascii="Times New Roman" w:hAnsi="Times New Roman"/>
          <w:sz w:val="24"/>
          <w:szCs w:val="24"/>
          <w:lang w:val="en-US"/>
        </w:rPr>
        <w:t>-dimethoxy-2,2'5,5'-tetraacetoxybiphenyl or according to IUPAC [4-acetyloxy-2-(2,5-diacetyloxy-4-methoxyphenyl)-5-methoxyphenyl] acetate</w:t>
      </w:r>
    </w:p>
    <w:p w:rsidR="000F5878" w:rsidRPr="00370098" w:rsidRDefault="000F5878" w:rsidP="000F587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 xml:space="preserve">δ in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ppm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 2.07 5,5’ OCOC</w:t>
      </w:r>
      <w:r w:rsidRPr="00370098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Pr="00370098">
        <w:rPr>
          <w:rFonts w:ascii="Times New Roman" w:hAnsi="Times New Roman"/>
          <w:sz w:val="24"/>
          <w:szCs w:val="24"/>
          <w:u w:val="single"/>
          <w:vertAlign w:val="subscript"/>
          <w:lang w:val="en-US"/>
        </w:rPr>
        <w:t>3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 (s,6H) , 2.28 </w:t>
      </w:r>
      <w:r w:rsidRPr="0037009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370098">
        <w:rPr>
          <w:rFonts w:ascii="Times New Roman" w:hAnsi="Times New Roman"/>
          <w:sz w:val="24"/>
          <w:szCs w:val="24"/>
          <w:lang w:val="en-US"/>
        </w:rPr>
        <w:t>2,2’ OCOC</w:t>
      </w:r>
      <w:r w:rsidRPr="00370098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Pr="00370098">
        <w:rPr>
          <w:rFonts w:ascii="Times New Roman" w:hAnsi="Times New Roman"/>
          <w:sz w:val="24"/>
          <w:szCs w:val="24"/>
          <w:u w:val="single"/>
          <w:vertAlign w:val="subscript"/>
          <w:lang w:val="en-US"/>
        </w:rPr>
        <w:t>3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(s,6H)  6.96 3,3’ (s,2H), 7.07  6,6’ (s,2H) (</w:t>
      </w:r>
      <w:r>
        <w:rPr>
          <w:rFonts w:ascii="Times New Roman" w:hAnsi="Times New Roman"/>
          <w:sz w:val="24"/>
          <w:szCs w:val="24"/>
          <w:lang w:val="en-US"/>
        </w:rPr>
        <w:t>S3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Figure)</w:t>
      </w:r>
    </w:p>
    <w:p w:rsidR="000F5878" w:rsidRPr="00370098" w:rsidRDefault="000F5878" w:rsidP="000F5878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>T8</w:t>
      </w:r>
      <w:proofErr w:type="gramStart"/>
      <w:r w:rsidRPr="00370098">
        <w:rPr>
          <w:rFonts w:ascii="Times New Roman" w:hAnsi="Times New Roman"/>
          <w:sz w:val="24"/>
          <w:szCs w:val="24"/>
          <w:lang w:val="en-US"/>
        </w:rPr>
        <w:t>:N</w:t>
      </w:r>
      <w:proofErr w:type="gramEnd"/>
      <w:r w:rsidRPr="00370098">
        <w:rPr>
          <w:rFonts w:ascii="Times New Roman" w:hAnsi="Times New Roman"/>
          <w:sz w:val="24"/>
          <w:szCs w:val="24"/>
          <w:lang w:val="en-US"/>
        </w:rPr>
        <w:t>-[(4-chlorobenzoyl)amino]-N'-[4-[5-thiophen-2-yl-3-(trifluoromethyl)pyrazol-1-yl]phenyl]sulfonylpyrrolidine-1-carboximidamide</w:t>
      </w:r>
    </w:p>
    <w:p w:rsidR="000F5878" w:rsidRPr="0046730E" w:rsidRDefault="000F5878" w:rsidP="000F587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0098">
        <w:rPr>
          <w:rFonts w:ascii="Times New Roman" w:hAnsi="Times New Roman"/>
          <w:sz w:val="24"/>
          <w:szCs w:val="24"/>
          <w:lang w:val="en-US"/>
        </w:rPr>
        <w:t>δ</w:t>
      </w:r>
      <w:proofErr w:type="gramEnd"/>
      <w:r w:rsidRPr="00370098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ppm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 1.86 4 (t, 4H), 3.47 3 (t, 4H), 7.09 7 (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, 1H), 7.18 6 (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, 1H),  7.27 5 (s, 1H), 7.53 1,2 (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, 4H), 7.66 4 (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, 4H), 7.91 1’,2’ (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dd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, 4H), 9.05 CON</w:t>
      </w:r>
      <w:r w:rsidRPr="00370098"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Pr="00370098">
        <w:rPr>
          <w:rFonts w:ascii="Times New Roman" w:hAnsi="Times New Roman"/>
          <w:sz w:val="24"/>
          <w:szCs w:val="24"/>
          <w:lang w:val="en-US"/>
        </w:rPr>
        <w:t>, 10.45 CONHN</w:t>
      </w:r>
      <w:r w:rsidRPr="00370098">
        <w:rPr>
          <w:rFonts w:ascii="Times New Roman" w:hAnsi="Times New Roman"/>
          <w:sz w:val="24"/>
          <w:szCs w:val="24"/>
          <w:u w:val="single"/>
          <w:lang w:val="en-US"/>
        </w:rPr>
        <w:t xml:space="preserve">H </w:t>
      </w:r>
      <w:r w:rsidRPr="0046730E">
        <w:rPr>
          <w:rFonts w:ascii="Times New Roman" w:hAnsi="Times New Roman"/>
          <w:sz w:val="24"/>
          <w:szCs w:val="24"/>
          <w:lang w:val="en-US"/>
        </w:rPr>
        <w:t>(S4 Figure)</w:t>
      </w:r>
    </w:p>
    <w:p w:rsidR="000F5878" w:rsidRDefault="000F5878" w:rsidP="000F587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 xml:space="preserve">According to the NMR data both compounds have a purity of more than 95%. </w:t>
      </w:r>
    </w:p>
    <w:p w:rsidR="00692E0F" w:rsidRPr="00370098" w:rsidRDefault="00692E0F" w:rsidP="00692E0F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70098">
        <w:rPr>
          <w:rFonts w:ascii="Times New Roman" w:hAnsi="Times New Roman"/>
          <w:b/>
          <w:sz w:val="24"/>
          <w:szCs w:val="24"/>
          <w:lang w:val="en-US"/>
        </w:rPr>
        <w:t xml:space="preserve">MS data </w:t>
      </w:r>
    </w:p>
    <w:p w:rsidR="00692E0F" w:rsidRDefault="00692E0F" w:rsidP="00692E0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 xml:space="preserve">MS data confirm the identity of T8 and T23. As it can be seen in </w:t>
      </w:r>
      <w:r>
        <w:rPr>
          <w:rFonts w:ascii="Times New Roman" w:hAnsi="Times New Roman"/>
          <w:sz w:val="24"/>
          <w:szCs w:val="24"/>
          <w:lang w:val="en-US"/>
        </w:rPr>
        <w:t>S5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Figure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the molecular weight of T8 was found to be 622.9 in accordance with the NMR structure elucidation. The molecular weight of T8 was found to be 447 (M+1) in accordance with the NMR structure elucidation. Peak at 464.1 corresponds to M+H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O (see </w:t>
      </w:r>
      <w:r>
        <w:rPr>
          <w:rFonts w:ascii="Times New Roman" w:hAnsi="Times New Roman"/>
          <w:sz w:val="24"/>
          <w:szCs w:val="24"/>
          <w:lang w:val="en-US"/>
        </w:rPr>
        <w:t>S6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Figure). The MS data confirm the high purity of the compounds as no other peaks nearby the molecular weights of T8 and T23 are observed. </w:t>
      </w:r>
      <w:r w:rsidRPr="00370098">
        <w:rPr>
          <w:rFonts w:ascii="Times New Roman" w:hAnsi="Times New Roman"/>
          <w:sz w:val="24"/>
          <w:szCs w:val="24"/>
          <w:lang w:val="en-US"/>
        </w:rPr>
        <w:lastRenderedPageBreak/>
        <w:t xml:space="preserve">Thus, MS data again are in accordance with those of NMR which show purity of the compounds higher than 95%. </w:t>
      </w:r>
    </w:p>
    <w:p w:rsidR="00692E0F" w:rsidRPr="00692E0F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0F">
        <w:rPr>
          <w:rFonts w:ascii="Times New Roman" w:hAnsi="Times New Roman"/>
          <w:b/>
          <w:sz w:val="24"/>
          <w:szCs w:val="24"/>
          <w:lang w:val="en-US"/>
        </w:rPr>
        <w:t>Determination of dissociation constant (</w:t>
      </w:r>
      <w:proofErr w:type="spellStart"/>
      <w:proofErr w:type="gramStart"/>
      <w:r w:rsidRPr="00692E0F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92E0F">
        <w:rPr>
          <w:rFonts w:ascii="Times New Roman" w:hAnsi="Times New Roman"/>
          <w:b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692E0F">
        <w:rPr>
          <w:rFonts w:ascii="Times New Roman" w:hAnsi="Times New Roman"/>
          <w:b/>
          <w:sz w:val="24"/>
          <w:szCs w:val="24"/>
          <w:lang w:val="en-US"/>
        </w:rPr>
        <w:t xml:space="preserve">) from fluorescence measurements 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 xml:space="preserve">The dissociation constant is an indicator of the binding strength between two molecules. For the reaction: 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position w:val="-6"/>
          <w:sz w:val="24"/>
          <w:szCs w:val="24"/>
          <w:lang w:val="en-US"/>
        </w:rPr>
        <w:object w:dxaOrig="1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12.9pt" o:ole="">
            <v:imagedata r:id="rId4" o:title=""/>
          </v:shape>
          <o:OLEObject Type="Embed" ProgID="Equation.3" ShapeID="_x0000_i1025" DrawAspect="Content" ObjectID="_1543319395" r:id="rId5"/>
        </w:objec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70098">
        <w:rPr>
          <w:rFonts w:ascii="Times New Roman" w:hAnsi="Times New Roman"/>
          <w:sz w:val="24"/>
          <w:szCs w:val="24"/>
          <w:lang w:val="en-US"/>
        </w:rPr>
        <w:t>K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370098">
        <w:rPr>
          <w:rFonts w:ascii="Times New Roman" w:hAnsi="Times New Roman"/>
          <w:sz w:val="24"/>
          <w:szCs w:val="24"/>
          <w:lang w:val="en-US"/>
        </w:rPr>
        <w:t xml:space="preserve"> is expressed by the equation:  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370098">
        <w:rPr>
          <w:rFonts w:ascii="Times New Roman" w:hAnsi="Times New Roman"/>
          <w:position w:val="-26"/>
          <w:sz w:val="24"/>
          <w:szCs w:val="24"/>
          <w:lang w:val="en-US"/>
        </w:rPr>
        <w:object w:dxaOrig="1180" w:dyaOrig="620">
          <v:shape id="_x0000_i1026" type="#_x0000_t75" style="width:59.1pt;height:31.9pt" o:ole="">
            <v:imagedata r:id="rId6" o:title=""/>
          </v:shape>
          <o:OLEObject Type="Embed" ProgID="Equation.3" ShapeID="_x0000_i1026" DrawAspect="Content" ObjectID="_1543319396" r:id="rId7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     (S.5</w:t>
      </w:r>
      <w:r w:rsidRPr="00370098">
        <w:rPr>
          <w:rFonts w:ascii="Times New Roman" w:hAnsi="Times New Roman"/>
          <w:sz w:val="24"/>
          <w:szCs w:val="24"/>
          <w:lang w:val="en-US"/>
        </w:rPr>
        <w:t>)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370098">
        <w:rPr>
          <w:rFonts w:ascii="Times New Roman" w:hAnsi="Times New Roman"/>
          <w:iCs/>
          <w:sz w:val="24"/>
          <w:szCs w:val="24"/>
          <w:lang w:val="en-US"/>
        </w:rPr>
        <w:t>where</w:t>
      </w:r>
      <w:proofErr w:type="gramEnd"/>
      <w:r w:rsidRPr="00370098">
        <w:rPr>
          <w:rFonts w:ascii="Times New Roman" w:hAnsi="Times New Roman"/>
          <w:iCs/>
          <w:sz w:val="24"/>
          <w:szCs w:val="24"/>
          <w:lang w:val="en-US"/>
        </w:rPr>
        <w:t xml:space="preserve"> [P] is the concentration of free Protein, [L] is the concentration of free </w:t>
      </w:r>
      <w:proofErr w:type="spellStart"/>
      <w:r w:rsidRPr="00370098">
        <w:rPr>
          <w:rFonts w:ascii="Times New Roman" w:hAnsi="Times New Roman"/>
          <w:iCs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iCs/>
          <w:sz w:val="24"/>
          <w:szCs w:val="24"/>
          <w:lang w:val="en-US"/>
        </w:rPr>
        <w:t xml:space="preserve"> and [PL] is the </w:t>
      </w:r>
      <w:proofErr w:type="spellStart"/>
      <w:r w:rsidRPr="00370098">
        <w:rPr>
          <w:rFonts w:ascii="Times New Roman" w:hAnsi="Times New Roman"/>
          <w:iCs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iCs/>
          <w:sz w:val="24"/>
          <w:szCs w:val="24"/>
          <w:lang w:val="en-US"/>
        </w:rPr>
        <w:t>-bound-Protein.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>Differences in fluorescence intensity between the protein/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complex and free protein (or free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) were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analysed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as previously described in [</w:t>
      </w:r>
      <w:proofErr w:type="spellStart"/>
      <w:r w:rsidRPr="00543203">
        <w:rPr>
          <w:rFonts w:ascii="Times New Roman" w:hAnsi="Times New Roman"/>
          <w:sz w:val="24"/>
          <w:szCs w:val="24"/>
          <w:lang w:val="en-US"/>
        </w:rPr>
        <w:t>Papaneophytou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et al. </w:t>
      </w:r>
      <w:r w:rsidRPr="00543203">
        <w:rPr>
          <w:rFonts w:ascii="Times New Roman" w:hAnsi="Times New Roman"/>
          <w:sz w:val="24"/>
          <w:szCs w:val="24"/>
          <w:lang w:val="en-US"/>
        </w:rPr>
        <w:t>(</w:t>
      </w:r>
      <w:r w:rsidRPr="00543203">
        <w:rPr>
          <w:rFonts w:ascii="Times New Roman" w:hAnsi="Times New Roman"/>
          <w:b/>
          <w:sz w:val="24"/>
          <w:szCs w:val="24"/>
          <w:lang w:val="en-US"/>
        </w:rPr>
        <w:t>2013</w:t>
      </w:r>
      <w:r w:rsidRPr="00543203">
        <w:rPr>
          <w:rFonts w:ascii="Times New Roman" w:hAnsi="Times New Roman"/>
          <w:sz w:val="24"/>
          <w:szCs w:val="24"/>
          <w:lang w:val="en-US"/>
        </w:rPr>
        <w:t>)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ACS Med </w:t>
      </w:r>
      <w:proofErr w:type="spellStart"/>
      <w:r w:rsidRPr="00370098">
        <w:rPr>
          <w:rFonts w:ascii="Times New Roman" w:hAnsi="Times New Roman"/>
          <w:i/>
          <w:sz w:val="24"/>
          <w:szCs w:val="24"/>
          <w:lang w:val="en-US"/>
        </w:rPr>
        <w:t>Chem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70098">
        <w:rPr>
          <w:rFonts w:ascii="Times New Roman" w:hAnsi="Times New Roman"/>
          <w:i/>
          <w:sz w:val="24"/>
          <w:szCs w:val="24"/>
          <w:lang w:val="en-US"/>
        </w:rPr>
        <w:t>Lett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. 4: </w:t>
      </w:r>
      <w:r w:rsidRPr="00543203">
        <w:rPr>
          <w:rFonts w:ascii="Times New Roman" w:hAnsi="Times New Roman"/>
          <w:sz w:val="24"/>
          <w:szCs w:val="24"/>
          <w:lang w:val="en-US"/>
        </w:rPr>
        <w:t>137-141</w:t>
      </w:r>
      <w:r w:rsidRPr="00370098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 (Eq. S6</w:t>
      </w:r>
      <w:r w:rsidRPr="00370098">
        <w:rPr>
          <w:rFonts w:ascii="Times New Roman" w:hAnsi="Times New Roman"/>
          <w:sz w:val="24"/>
          <w:szCs w:val="24"/>
          <w:lang w:val="en-US"/>
        </w:rPr>
        <w:t>) in order to determine the dissociation constant (</w:t>
      </w:r>
      <w:proofErr w:type="spellStart"/>
      <w:proofErr w:type="gramStart"/>
      <w:r w:rsidRPr="00370098">
        <w:rPr>
          <w:rFonts w:ascii="Times New Roman" w:hAnsi="Times New Roman"/>
          <w:sz w:val="24"/>
          <w:szCs w:val="24"/>
          <w:lang w:val="en-US"/>
        </w:rPr>
        <w:t>K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370098">
        <w:rPr>
          <w:rFonts w:ascii="Times New Roman" w:hAnsi="Times New Roman"/>
          <w:sz w:val="24"/>
          <w:szCs w:val="24"/>
          <w:lang w:val="en-US"/>
        </w:rPr>
        <w:t>) of the various protein-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systems.</w:t>
      </w:r>
    </w:p>
    <w:p w:rsidR="00692E0F" w:rsidRPr="00370098" w:rsidRDefault="00692E0F" w:rsidP="00692E0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70098">
        <w:rPr>
          <w:rFonts w:ascii="Times New Roman" w:hAnsi="Times New Roman"/>
          <w:position w:val="-24"/>
          <w:sz w:val="24"/>
          <w:szCs w:val="24"/>
          <w:lang w:val="en-US"/>
        </w:rPr>
        <w:object w:dxaOrig="8640" w:dyaOrig="720">
          <v:shape id="_x0000_i1027" type="#_x0000_t75" style="width:352.55pt;height:27.85pt" o:ole="">
            <v:imagedata r:id="rId8" o:title=""/>
          </v:shape>
          <o:OLEObject Type="Embed" ProgID="Equation.3" ShapeID="_x0000_i1027" DrawAspect="Content" ObjectID="_1543319397" r:id="rId9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 (S.6</w:t>
      </w:r>
      <w:r w:rsidRPr="00370098">
        <w:rPr>
          <w:rFonts w:ascii="Times New Roman" w:hAnsi="Times New Roman"/>
          <w:sz w:val="24"/>
          <w:szCs w:val="24"/>
          <w:lang w:val="en-US"/>
        </w:rPr>
        <w:t>)</w:t>
      </w:r>
    </w:p>
    <w:p w:rsidR="00692E0F" w:rsidRPr="00692E0F" w:rsidRDefault="00692E0F" w:rsidP="00692E0F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0098">
        <w:rPr>
          <w:rFonts w:ascii="Times New Roman" w:hAnsi="Times New Roman"/>
          <w:sz w:val="24"/>
          <w:szCs w:val="24"/>
          <w:lang w:val="en-US"/>
        </w:rPr>
        <w:t>In Eq. (S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370098">
        <w:rPr>
          <w:rFonts w:ascii="Times New Roman" w:hAnsi="Times New Roman"/>
          <w:sz w:val="24"/>
          <w:szCs w:val="24"/>
          <w:lang w:val="en-US"/>
        </w:rPr>
        <w:t>) F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>obs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is the observed fluorescence intensity; F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>BG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is the fluorescence background signal; </w:t>
      </w:r>
      <w:r w:rsidRPr="00370098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70098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sub>
            </m:sSub>
          </m:sub>
        </m:sSub>
      </m:oMath>
      <w:r w:rsidRPr="00370098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70098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70098">
        <w:rPr>
          <w:rFonts w:ascii="Times New Roman" w:hAnsi="Times New Roman"/>
          <w:position w:val="-14"/>
          <w:sz w:val="24"/>
          <w:szCs w:val="24"/>
          <w:lang w:val="en-US"/>
        </w:rPr>
        <w:object w:dxaOrig="560" w:dyaOrig="380">
          <v:shape id="_x0000_i1028" type="#_x0000_t75" style="width:29.2pt;height:17.65pt" o:ole="">
            <v:imagedata r:id="rId10" o:title=""/>
          </v:shape>
          <o:OLEObject Type="Embed" ProgID="Equation.3" ShapeID="_x0000_i1028" DrawAspect="Content" ObjectID="_1543319398" r:id="rId11"/>
        </w:object>
      </w:r>
      <w:r w:rsidRPr="00370098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70098">
        <w:rPr>
          <w:rFonts w:ascii="Times New Roman" w:hAnsi="Times New Roman"/>
          <w:i/>
          <w:sz w:val="24"/>
          <w:szCs w:val="24"/>
          <w:vertAlign w:val="subscript"/>
          <w:lang w:val="en-US"/>
        </w:rPr>
        <w:t>F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are the molar fluorescence and concentration of free protein, respectively; 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>FR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 is the fluorescence ratio of bound protein (or bound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in the case of a fluorescence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);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L</w:t>
      </w:r>
      <w:r w:rsidRPr="00370098">
        <w:rPr>
          <w:rFonts w:ascii="Times New Roman" w:hAnsi="Times New Roman"/>
          <w:i/>
          <w:sz w:val="24"/>
          <w:szCs w:val="24"/>
          <w:vertAlign w:val="subscript"/>
          <w:lang w:val="en-US"/>
        </w:rPr>
        <w:t>T</w:t>
      </w:r>
      <w:r w:rsidRPr="0037009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>P</w:t>
      </w:r>
      <w:r w:rsidRPr="00370098">
        <w:rPr>
          <w:rFonts w:ascii="Times New Roman" w:hAnsi="Times New Roman"/>
          <w:i/>
          <w:sz w:val="24"/>
          <w:szCs w:val="24"/>
          <w:vertAlign w:val="subscript"/>
          <w:lang w:val="en-US"/>
        </w:rPr>
        <w:t xml:space="preserve">T 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are the total concentrations of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 xml:space="preserve"> and protein, respectively. A detailed analysis of the development of the fluorescence </w:t>
      </w:r>
      <w:proofErr w:type="spellStart"/>
      <w:r w:rsidRPr="00370098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370098">
        <w:rPr>
          <w:rFonts w:ascii="Times New Roman" w:hAnsi="Times New Roman"/>
          <w:sz w:val="24"/>
          <w:szCs w:val="24"/>
          <w:lang w:val="en-US"/>
        </w:rPr>
        <w:t>-binding assay is given in [</w:t>
      </w:r>
      <w:proofErr w:type="spellStart"/>
      <w:r w:rsidRPr="000D4E25">
        <w:rPr>
          <w:rFonts w:ascii="Times New Roman" w:hAnsi="Times New Roman"/>
          <w:sz w:val="24"/>
          <w:szCs w:val="24"/>
          <w:lang w:val="en-US"/>
        </w:rPr>
        <w:t>Papaneophytou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et al. </w:t>
      </w:r>
      <w:r w:rsidRPr="000D4E25">
        <w:rPr>
          <w:rFonts w:ascii="Times New Roman" w:hAnsi="Times New Roman"/>
          <w:sz w:val="24"/>
          <w:szCs w:val="24"/>
          <w:lang w:val="en-US"/>
        </w:rPr>
        <w:t>(</w:t>
      </w:r>
      <w:r w:rsidRPr="000D4E25">
        <w:rPr>
          <w:rFonts w:ascii="Times New Roman" w:hAnsi="Times New Roman"/>
          <w:b/>
          <w:sz w:val="24"/>
          <w:szCs w:val="24"/>
          <w:lang w:val="en-US"/>
        </w:rPr>
        <w:t>2013</w:t>
      </w:r>
      <w:r w:rsidRPr="000D4E25">
        <w:rPr>
          <w:rFonts w:ascii="Times New Roman" w:hAnsi="Times New Roman"/>
          <w:sz w:val="24"/>
          <w:szCs w:val="24"/>
          <w:lang w:val="en-US"/>
        </w:rPr>
        <w:t>)</w:t>
      </w:r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ACS Med </w:t>
      </w:r>
      <w:proofErr w:type="spellStart"/>
      <w:r w:rsidRPr="00370098">
        <w:rPr>
          <w:rFonts w:ascii="Times New Roman" w:hAnsi="Times New Roman"/>
          <w:i/>
          <w:sz w:val="24"/>
          <w:szCs w:val="24"/>
          <w:lang w:val="en-US"/>
        </w:rPr>
        <w:t>Chem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70098">
        <w:rPr>
          <w:rFonts w:ascii="Times New Roman" w:hAnsi="Times New Roman"/>
          <w:i/>
          <w:sz w:val="24"/>
          <w:szCs w:val="24"/>
          <w:lang w:val="en-US"/>
        </w:rPr>
        <w:t>Lett</w:t>
      </w:r>
      <w:proofErr w:type="spellEnd"/>
      <w:r w:rsidRPr="00370098">
        <w:rPr>
          <w:rFonts w:ascii="Times New Roman" w:hAnsi="Times New Roman"/>
          <w:i/>
          <w:sz w:val="24"/>
          <w:szCs w:val="24"/>
          <w:lang w:val="en-US"/>
        </w:rPr>
        <w:t xml:space="preserve">. 4: </w:t>
      </w:r>
      <w:r w:rsidRPr="000D4E25">
        <w:rPr>
          <w:rFonts w:ascii="Times New Roman" w:hAnsi="Times New Roman"/>
          <w:sz w:val="24"/>
          <w:szCs w:val="24"/>
          <w:lang w:val="en-US"/>
        </w:rPr>
        <w:t>137-141</w:t>
      </w:r>
      <w:r w:rsidRPr="00370098">
        <w:rPr>
          <w:rFonts w:ascii="Times New Roman" w:hAnsi="Times New Roman"/>
          <w:sz w:val="24"/>
          <w:szCs w:val="24"/>
          <w:lang w:val="en-US"/>
        </w:rPr>
        <w:t xml:space="preserve">]. </w:t>
      </w:r>
    </w:p>
    <w:p w:rsidR="00C93F1A" w:rsidRDefault="00C93F1A"/>
    <w:sectPr w:rsidR="00C93F1A" w:rsidSect="00C9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5C82"/>
    <w:rsid w:val="00032D98"/>
    <w:rsid w:val="00041CFB"/>
    <w:rsid w:val="000861B9"/>
    <w:rsid w:val="000F5878"/>
    <w:rsid w:val="00147384"/>
    <w:rsid w:val="00221045"/>
    <w:rsid w:val="00236F7C"/>
    <w:rsid w:val="00692E0F"/>
    <w:rsid w:val="0084123D"/>
    <w:rsid w:val="00A55C82"/>
    <w:rsid w:val="00C93F1A"/>
    <w:rsid w:val="00F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8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Leonis</dc:creator>
  <cp:lastModifiedBy>Leonis</cp:lastModifiedBy>
  <cp:revision>3</cp:revision>
  <dcterms:created xsi:type="dcterms:W3CDTF">2016-12-15T13:00:00Z</dcterms:created>
  <dcterms:modified xsi:type="dcterms:W3CDTF">2016-12-15T13:03:00Z</dcterms:modified>
</cp:coreProperties>
</file>