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C2" w:rsidRPr="0026644C" w:rsidRDefault="00F847C2" w:rsidP="00F84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Text. </w:t>
      </w:r>
      <w:r w:rsidRPr="0026644C">
        <w:rPr>
          <w:rFonts w:ascii="Times New Roman" w:hAnsi="Times New Roman" w:cs="Times New Roman"/>
          <w:b/>
          <w:sz w:val="24"/>
          <w:szCs w:val="24"/>
        </w:rPr>
        <w:t>Machine learning algorithm for mining disease-mutation relationships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47C2" w:rsidRDefault="00F847C2" w:rsidP="00F847C2">
      <w:pPr>
        <w:pStyle w:val="ListParagraph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9919F0">
        <w:rPr>
          <w:rFonts w:ascii="Times New Roman" w:hAnsi="Times New Roman" w:cs="Times New Roman"/>
          <w:sz w:val="24"/>
          <w:szCs w:val="24"/>
        </w:rPr>
        <w:t xml:space="preserve">We briefly discuss the </w:t>
      </w:r>
      <w:r>
        <w:rPr>
          <w:rFonts w:ascii="Times New Roman" w:hAnsi="Times New Roman" w:cs="Times New Roman"/>
          <w:sz w:val="24"/>
          <w:szCs w:val="24"/>
        </w:rPr>
        <w:t xml:space="preserve">machine learning and text mining approach we developed to extract disease-mutation relationships from PubMed abstracts. As shown in Supplementary Figure 1 (below), using the tmVar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DNorm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entity recognition tools for mutation and disease mentions respectively, we determine an association (yes or no) by computing six quantitative features from the text in the abstract. These 6 features are constructed to capture various information types such as statistical information about frequency, inter-entity distances, and text sentiment and its strength. We use a pre-trained (on a human annotated benchmark dataset) machine learning model to make decisions about associations using the six feature set. </w:t>
      </w:r>
    </w:p>
    <w:p w:rsidR="00F847C2" w:rsidRDefault="00F847C2" w:rsidP="00F847C2">
      <w:pPr>
        <w:pStyle w:val="ListParagraph"/>
        <w:keepNext/>
      </w:pPr>
      <w:bookmarkStart w:id="0" w:name="_GoBack"/>
      <w:r>
        <w:rPr>
          <w:noProof/>
        </w:rPr>
        <w:drawing>
          <wp:inline distT="0" distB="0" distL="0" distR="0" wp14:anchorId="2D5EF917" wp14:editId="2F86B5CF">
            <wp:extent cx="3316233" cy="481138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Figure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879" cy="483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47C2" w:rsidRDefault="00F847C2" w:rsidP="00F847C2">
      <w:pPr>
        <w:pStyle w:val="Caption"/>
        <w:jc w:val="center"/>
        <w:rPr>
          <w:rFonts w:ascii="Times New Roman" w:hAnsi="Times New Roman" w:cs="Times New Roman"/>
          <w:i w:val="0"/>
          <w:color w:val="000000" w:themeColor="text1"/>
          <w:sz w:val="22"/>
        </w:rPr>
      </w:pPr>
      <w:r>
        <w:rPr>
          <w:rFonts w:ascii="Times New Roman" w:hAnsi="Times New Roman" w:cs="Times New Roman"/>
          <w:i w:val="0"/>
          <w:color w:val="000000" w:themeColor="text1"/>
          <w:sz w:val="22"/>
        </w:rPr>
        <w:t xml:space="preserve">Supplementary </w:t>
      </w:r>
      <w:r w:rsidRPr="00B21721">
        <w:rPr>
          <w:rFonts w:ascii="Times New Roman" w:hAnsi="Times New Roman" w:cs="Times New Roman"/>
          <w:i w:val="0"/>
          <w:color w:val="000000" w:themeColor="text1"/>
          <w:sz w:val="22"/>
        </w:rPr>
        <w:t xml:space="preserve">Figure </w:t>
      </w:r>
      <w:r w:rsidRPr="00B21721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begin"/>
      </w:r>
      <w:r w:rsidRPr="00B21721">
        <w:rPr>
          <w:rFonts w:ascii="Times New Roman" w:hAnsi="Times New Roman" w:cs="Times New Roman"/>
          <w:i w:val="0"/>
          <w:color w:val="000000" w:themeColor="text1"/>
          <w:sz w:val="22"/>
        </w:rPr>
        <w:instrText xml:space="preserve"> SEQ Figure \* ARABIC </w:instrText>
      </w:r>
      <w:r w:rsidRPr="00B21721">
        <w:rPr>
          <w:rFonts w:ascii="Times New Roman" w:hAnsi="Times New Roman" w:cs="Times New Roman"/>
          <w:i w:val="0"/>
          <w:color w:val="000000" w:themeColor="text1"/>
          <w:sz w:val="22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000000" w:themeColor="text1"/>
          <w:sz w:val="22"/>
        </w:rPr>
        <w:t>1</w:t>
      </w:r>
      <w:r w:rsidRPr="00B21721">
        <w:rPr>
          <w:rFonts w:ascii="Times New Roman" w:hAnsi="Times New Roman" w:cs="Times New Roman"/>
          <w:i w:val="0"/>
          <w:noProof/>
          <w:color w:val="000000" w:themeColor="text1"/>
          <w:sz w:val="22"/>
        </w:rPr>
        <w:fldChar w:fldCharType="end"/>
      </w:r>
      <w:r w:rsidRPr="00B21721">
        <w:rPr>
          <w:rFonts w:ascii="Times New Roman" w:hAnsi="Times New Roman" w:cs="Times New Roman"/>
          <w:i w:val="0"/>
          <w:color w:val="000000" w:themeColor="text1"/>
          <w:sz w:val="22"/>
        </w:rPr>
        <w:t xml:space="preserve">: Flowchart of </w:t>
      </w:r>
      <w:r>
        <w:rPr>
          <w:rFonts w:ascii="Times New Roman" w:hAnsi="Times New Roman" w:cs="Times New Roman"/>
          <w:i w:val="0"/>
          <w:color w:val="000000" w:themeColor="text1"/>
          <w:sz w:val="22"/>
        </w:rPr>
        <w:t xml:space="preserve">our </w:t>
      </w:r>
      <w:r w:rsidRPr="00B21721">
        <w:rPr>
          <w:rFonts w:ascii="Times New Roman" w:hAnsi="Times New Roman" w:cs="Times New Roman"/>
          <w:i w:val="0"/>
          <w:color w:val="000000" w:themeColor="text1"/>
          <w:sz w:val="22"/>
        </w:rPr>
        <w:t>disease-mutation association mining algorithm.</w:t>
      </w:r>
    </w:p>
    <w:p w:rsidR="006A65C9" w:rsidRDefault="006A65C9"/>
    <w:sectPr w:rsidR="006A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C2"/>
    <w:rsid w:val="006A65C9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86FA6-4CDD-40BE-B07D-A6CEBBEA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C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847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NCBI-NLM-NIH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Singhal, Ayush (NIH/NLM/NCBI) [F]</dc:creator>
  <cp:keywords/>
  <dc:description/>
  <cp:lastModifiedBy>Singhal, Ayush (NIH/NLM/NCBI) [F]</cp:lastModifiedBy>
  <cp:revision>1</cp:revision>
  <dcterms:created xsi:type="dcterms:W3CDTF">2016-06-26T18:01:00Z</dcterms:created>
  <dcterms:modified xsi:type="dcterms:W3CDTF">2016-06-26T18:02:00Z</dcterms:modified>
</cp:coreProperties>
</file>