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D65C8" w14:textId="77777777" w:rsidR="0068385E" w:rsidRPr="00B76460" w:rsidRDefault="0068385E" w:rsidP="0068385E">
      <w:pPr>
        <w:spacing w:line="360" w:lineRule="auto"/>
        <w:rPr>
          <w:rFonts w:ascii="Garamond" w:hAnsi="Garamond"/>
          <w:sz w:val="20"/>
          <w:szCs w:val="20"/>
        </w:rPr>
      </w:pPr>
      <w:bookmarkStart w:id="0" w:name="OLE_LINK1"/>
      <w:r w:rsidRPr="00B76460">
        <w:rPr>
          <w:rFonts w:ascii="Garamond" w:hAnsi="Garamond"/>
          <w:b/>
          <w:sz w:val="20"/>
          <w:szCs w:val="20"/>
        </w:rPr>
        <w:t>Supplementary model comparison: value contextualisation without counterfactual learning</w:t>
      </w:r>
    </w:p>
    <w:bookmarkEnd w:id="0"/>
    <w:p w14:paraId="759664C6" w14:textId="77777777" w:rsidR="0068385E" w:rsidRPr="00B76460" w:rsidRDefault="0068385E" w:rsidP="0068385E">
      <w:pPr>
        <w:spacing w:line="360" w:lineRule="auto"/>
        <w:jc w:val="both"/>
        <w:rPr>
          <w:rFonts w:ascii="Garamond" w:hAnsi="Garamond"/>
          <w:sz w:val="20"/>
          <w:szCs w:val="20"/>
        </w:rPr>
      </w:pPr>
      <w:r w:rsidRPr="00B76460">
        <w:rPr>
          <w:rFonts w:ascii="Garamond" w:hAnsi="Garamond"/>
          <w:sz w:val="20"/>
          <w:szCs w:val="20"/>
        </w:rPr>
        <w:t>Our model space did not include a model in which standard Q-learning (Model 1) was augmented with value contextualisation (</w:t>
      </w:r>
      <w:r w:rsidRPr="00B76460">
        <w:rPr>
          <w:rFonts w:ascii="Symbol" w:hAnsi="Symbol"/>
          <w:sz w:val="20"/>
          <w:szCs w:val="20"/>
        </w:rPr>
        <w:t></w:t>
      </w:r>
      <w:r w:rsidRPr="00B76460">
        <w:rPr>
          <w:rFonts w:ascii="Garamond" w:hAnsi="Garamond"/>
          <w:sz w:val="20"/>
          <w:szCs w:val="20"/>
        </w:rPr>
        <w:t>3&gt;0) but not counterfactual learning (</w:t>
      </w:r>
      <w:r w:rsidRPr="00B76460">
        <w:rPr>
          <w:rFonts w:ascii="Symbol" w:hAnsi="Symbol"/>
          <w:sz w:val="20"/>
          <w:szCs w:val="20"/>
        </w:rPr>
        <w:t></w:t>
      </w:r>
      <w:r w:rsidRPr="00B76460">
        <w:rPr>
          <w:rFonts w:ascii="Garamond" w:hAnsi="Garamond"/>
          <w:sz w:val="20"/>
          <w:szCs w:val="20"/>
        </w:rPr>
        <w:t>2=0). The first reason for this decision was “historical”: previous studies involving counterfactual feedback have already proposed models implementing counterfactual learning. Thus, the counterfactual learning module did not represent a novel approach, but rather a benchmark by which to compare to the value contextualisation module</w:t>
      </w:r>
      <w:r w:rsidRPr="00B76460">
        <w:rPr>
          <w:rFonts w:ascii="Garamond" w:hAnsi="Garamond"/>
          <w:sz w:val="20"/>
          <w:szCs w:val="20"/>
        </w:rPr>
        <w:fldChar w:fldCharType="begin" w:fldLock="1"/>
      </w:r>
      <w:r>
        <w:rPr>
          <w:rFonts w:ascii="Garamond" w:hAnsi="Garamond"/>
          <w:sz w:val="20"/>
          <w:szCs w:val="20"/>
        </w:rPr>
        <w:instrText>ADDIN CSL_CITATION { "citationItems" : [ { "id" : "ITEM-1", "itemData" : { "DOI" : "10.1016/j.neuron.2013.07.006", "ISBN" : "1097-4199 (Electronic)\\r0896-6273 (Linking)", "ISSN" : "1097-4199", "PMID" : "24050408", "abstract" : "The ability to learn not only from experienced but also\u00a0from merely fictive outcomes without direct rewarding or punishing consequences should improve learning and resulting value-guided choice. Using an instrumental learning task in combination with multiple single-trial regression of predictions derived from a computational reinforcement-learning model on human EEG, we found an early temporospatial double dissociation in the processing of fictive and real feedback. Thereafter, real and fictive feedback processing converged at a common final path, reflected in parietal EEG activity that was predictive of future choices. In the choice phase, similar parietal EEG activity related to certainty of the impending response was predictive for the decision on the next trial as well. These parietal EEG effects may reflect a common adaptive cortical mechanism of updating or strengthening of stimulus values by integrating outcomes, learning rate, and certainty, which is active during both decision making and evaluation. Neuronal processing of real (rewarding, punishing) and fictive action outcomes (which would have happened had one acted differently) differs for 400\u00a0ms and then converges on a common adaptive mechanism driving future decision making and learning.", "author" : [ { "dropping-particle" : "", "family" : "Fischer", "given" : "AdrianG G", "non-dropping-particle" : "", "parse-names" : false, "suffix" : "" }, { "dropping-particle" : "", "family" : "Ullsperger", "given" : "Markus", "non-dropping-particle" : "", "parse-names" : false, "suffix" : "" } ], "container-title" : "Neuron", "id" : "ITEM-1", "issue" : "6", "issued" : { "date-parts" : [ [ "2013", "9", "18" ] ] }, "page" : "1243-55", "publisher" : "Elsevier Inc.", "title" : "Real and fictive outcomes are processed differently but converge on a common adaptive mechanism.", "type" : "article-journal", "volume" : "79" }, "uris" : [ "http://www.mendeley.com/documents/?uuid=0a9f78dc-6c3e-4437-ba5a-b5b84f7c12d2" ] }, { "id" : "ITEM-2", "itemData" : { "DOI" : "10.1371/journal.pbio.1001093", "ISBN" : "1545-7885 (Electronic)\\r1544-9173 (Linking)", "ISSN" : "15449173", "PMID" : "21738446", "abstract" : "Decision making and learning in a real-world context require organisms to track not only the choices they make and the outcomes that follow but also other untaken, or counterfactual, choices and their outcomes. Although the neural system responsible for tracking the value of choices actually taken is increasingly well understood, whether a neural system tracks counterfactual information is currently unclear. Using a three-alternative decision-making task, a Bayesian reinforcement-learning algorithm, and fMRI, we investigated the coding of counterfactual choices and prediction errors in the human brain. Rather than representing evidence favoring multiple counterfactual choices, lateral frontal polar cortex (lFPC), dorsomedial frontal cortex (DMFC), and posteromedial cortex (PMC) encode the reward-based evidence favoring the best counterfactual option at future decisions. In addition to encoding counterfactual reward expectations, the network carries a signal for learning about counterfactual options when feedback is available-a counterfactual prediction error. Unlike other brain regions that have been associated with the processing of counterfactual outcomes, counterfactual prediction errors within the identified network cannot be related to regret theory. Furthermore, individual variation in counterfactual choice-related activity and prediction error-related activity, respectively, predicts variation in the propensity to switch to profitable choices in the future and the ability to learn from hypothetical feedback. Taken together, these data provide both neural and behavioral evidence to support the existence of a previously unidentified neural system responsible for tracking both counterfactual choice options and their outcomes.", "author" : [ { "dropping-particle" : "", "family" : "Boorman", "given" : "Erie D.", "non-dropping-particle" : "", "parse-names" : false, "suffix" : "" }, { "dropping-particle" : "", "family" : "Behrens", "given" : "Timothy E.", "non-dropping-particle" : "", "parse-names" : false, "suffix" : "" }, { "dropping-particle" : "", "family" : "Rushworth", "given" : "Matthew F.", "non-dropping-particle" : "", "parse-names" : false, "suffix" : "" } ], "container-title" : "PLoS biology", "id" : "ITEM-2", "issue" : "6", "issued" : { "date-parts" : [ [ "2011" ] ] }, "title" : "Counterfactual Choice and Learning in a Neural Network Centered on Human Lateral Frontopolar Cortex", "type" : "article-journal", "volume" : "9" }, "uris" : [ "http://www.mendeley.com/documents/?uuid=6af51c0b-073d-4f53-a6d1-35c2c2e8c30a" ] }, { "id" : "ITEM-3", "itemData" : { "DOI" : "10.1523/JNEUROSCI.6316-10.2011", "ISBN" : "1529-2401 (Electronic)\\n0270-6474 (Linking)", "ISSN" : "0270-6474", "PMID" : "21471387", "abstract" : "Influential reinforcement learning theories propose that prediction error signals in the brain's nigrostriatal system guide learning for trial-and-error decision-making. However, since different decision variables can be learned from quantitatively similar error signals, a critical question is: what is the content of decision representations trained by the error signals? We used fMRI to monitor neural activity in a two-armed bandit counterfactual decision task that provided human subjects with information about forgone and obtained monetary outcomes so as to dissociate teaching signals that update expected values for each action, versus signals that train relative preferences between actions (a policy). The reward probabilities of both choices varied independently from each other. This specific design allowed us to test whether subjects' choice behavior was guided by policy-based methods, which directly map states to advantageous actions, or value-based methods such as Q-learning, where choice policies are instead generated by learning an intermediate representation (reward expectancy). Behaviorally, we found human participants' choices were significantly influenced by obtained as well as forgone rewards from the previous trial. We also found subjects' blood oxygen level-dependent responses in striatum were modulated in opposite directions by the experienced and forgone rewards but not by reward expectancy. This neural pattern, as well as subjects' choice behavior, is consistent with a teaching signal for developing habits or relative action preferences, rather than prediction errors for updating separate action values.", "author" : [ { "dropping-particle" : "", "family" : "Li", "given" : "Jian", "non-dropping-particle" : "", "parse-names" : false, "suffix" : "" }, { "dropping-particle" : "", "family" : "Daw", "given" : "Nathaniel D", "non-dropping-particle" : "", "parse-names" : false, "suffix" : "" } ], "container-title" : "The Journal of neuroscience", "id" : "ITEM-3", "issue" : "14", "issued" : { "date-parts" : [ [ "2011" ] ] }, "note" : "From Duplicate 2 ( \n\n\n\n\n\n\n\n\nSignals in Human Striatum Are Appropriate for Policy Update Rather than Value Prediction\n\n\n\n\n\n\n\n\n- Li, Jian; Daw, Nathaniel D )\n\n\n\n", "page" : "5504-5511", "title" : "Signals in Human Striatum Are Appropriate for Policy Update Rather than Value Prediction", "type" : "article-journal", "volume" : "31" }, "uris" : [ "http://www.mendeley.com/documents/?uuid=dd3d3ab9-0495-4ad0-9bf5-0ddc438d0d33" ] } ], "mendeley" : { "formattedCitation" : "(&lt;i&gt;1&lt;/i&gt;\u2013&lt;i&gt;3&lt;/i&gt;)", "plainTextFormattedCitation" : "(1\u20133)", "previouslyFormattedCitation" : "[1\u20133]" }, "properties" : { "noteIndex" : 0 }, "schema" : "https://github.com/citation-style-language/schema/raw/master/csl-citation.json" }</w:instrText>
      </w:r>
      <w:r w:rsidRPr="00B76460">
        <w:rPr>
          <w:rFonts w:ascii="Garamond" w:hAnsi="Garamond"/>
          <w:sz w:val="20"/>
          <w:szCs w:val="20"/>
        </w:rPr>
        <w:fldChar w:fldCharType="separate"/>
      </w:r>
      <w:r w:rsidRPr="0068385E">
        <w:rPr>
          <w:rFonts w:ascii="Garamond" w:hAnsi="Garamond"/>
          <w:noProof/>
          <w:sz w:val="20"/>
          <w:szCs w:val="20"/>
        </w:rPr>
        <w:t>(</w:t>
      </w:r>
      <w:r w:rsidRPr="0068385E">
        <w:rPr>
          <w:rFonts w:ascii="Garamond" w:hAnsi="Garamond"/>
          <w:i/>
          <w:noProof/>
          <w:sz w:val="20"/>
          <w:szCs w:val="20"/>
        </w:rPr>
        <w:t>1</w:t>
      </w:r>
      <w:r w:rsidRPr="0068385E">
        <w:rPr>
          <w:rFonts w:ascii="Garamond" w:hAnsi="Garamond"/>
          <w:noProof/>
          <w:sz w:val="20"/>
          <w:szCs w:val="20"/>
        </w:rPr>
        <w:t>–</w:t>
      </w:r>
      <w:r w:rsidRPr="0068385E">
        <w:rPr>
          <w:rFonts w:ascii="Garamond" w:hAnsi="Garamond"/>
          <w:i/>
          <w:noProof/>
          <w:sz w:val="20"/>
          <w:szCs w:val="20"/>
        </w:rPr>
        <w:t>3</w:t>
      </w:r>
      <w:r w:rsidRPr="0068385E">
        <w:rPr>
          <w:rFonts w:ascii="Garamond" w:hAnsi="Garamond"/>
          <w:noProof/>
          <w:sz w:val="20"/>
          <w:szCs w:val="20"/>
        </w:rPr>
        <w:t>)</w:t>
      </w:r>
      <w:r w:rsidRPr="00B76460">
        <w:rPr>
          <w:rFonts w:ascii="Garamond" w:hAnsi="Garamond"/>
          <w:sz w:val="20"/>
          <w:szCs w:val="20"/>
        </w:rPr>
        <w:fldChar w:fldCharType="end"/>
      </w:r>
      <w:r w:rsidRPr="00B76460">
        <w:rPr>
          <w:rFonts w:ascii="Garamond" w:hAnsi="Garamond"/>
          <w:sz w:val="20"/>
          <w:szCs w:val="20"/>
        </w:rPr>
        <w:t>. The second reason was conceptual: since the counterfactual learning module learns value in a policy-independent manner (i.e. independent from participants’ actual choices), its update rule in the Complete feedback conditions requires the integration of information from both the chosen (R</w:t>
      </w:r>
      <w:r w:rsidRPr="00B76460">
        <w:rPr>
          <w:rFonts w:ascii="Garamond" w:hAnsi="Garamond"/>
          <w:sz w:val="20"/>
          <w:szCs w:val="20"/>
          <w:vertAlign w:val="subscript"/>
        </w:rPr>
        <w:t>C</w:t>
      </w:r>
      <w:r w:rsidRPr="00B76460">
        <w:rPr>
          <w:rFonts w:ascii="Garamond" w:hAnsi="Garamond"/>
          <w:sz w:val="20"/>
          <w:szCs w:val="20"/>
        </w:rPr>
        <w:t>) and the unchosen outcomes (R</w:t>
      </w:r>
      <w:r w:rsidRPr="00B76460">
        <w:rPr>
          <w:rFonts w:ascii="Garamond" w:hAnsi="Garamond"/>
          <w:sz w:val="20"/>
          <w:szCs w:val="20"/>
          <w:vertAlign w:val="subscript"/>
        </w:rPr>
        <w:t>U</w:t>
      </w:r>
      <w:r w:rsidRPr="00B76460">
        <w:rPr>
          <w:rFonts w:ascii="Garamond" w:hAnsi="Garamond"/>
          <w:sz w:val="20"/>
          <w:szCs w:val="20"/>
        </w:rPr>
        <w:t>):</w:t>
      </w:r>
    </w:p>
    <w:p w14:paraId="25A4E5D6" w14:textId="77777777" w:rsidR="0068385E" w:rsidRPr="00B76460" w:rsidRDefault="0068385E" w:rsidP="0068385E">
      <w:pPr>
        <w:spacing w:line="360" w:lineRule="auto"/>
        <w:jc w:val="both"/>
        <w:rPr>
          <w:rFonts w:ascii="Garamond" w:hAnsi="Garamond"/>
          <w:sz w:val="20"/>
          <w:szCs w:val="20"/>
        </w:rPr>
      </w:pPr>
      <w:r w:rsidRPr="00B76460">
        <w:rPr>
          <w:rFonts w:ascii="Times New Roman" w:hAnsi="Times New Roman" w:hint="eastAsia"/>
          <w:i/>
          <w:iCs/>
          <w:sz w:val="20"/>
          <w:szCs w:val="20"/>
        </w:rPr>
        <w:t>δ</w:t>
      </w:r>
      <w:proofErr w:type="spellStart"/>
      <w:r w:rsidRPr="00B76460">
        <w:rPr>
          <w:rFonts w:ascii="Garamond" w:hAnsi="Garamond"/>
          <w:i/>
          <w:iCs/>
          <w:sz w:val="20"/>
          <w:szCs w:val="20"/>
          <w:vertAlign w:val="subscript"/>
        </w:rPr>
        <w:t>V,t</w:t>
      </w:r>
      <w:proofErr w:type="spellEnd"/>
      <w:r w:rsidRPr="00B76460">
        <w:rPr>
          <w:rFonts w:ascii="Garamond" w:hAnsi="Garamond"/>
          <w:i/>
          <w:iCs/>
          <w:sz w:val="20"/>
          <w:szCs w:val="20"/>
          <w:vertAlign w:val="subscript"/>
        </w:rPr>
        <w:t xml:space="preserve">  </w:t>
      </w:r>
      <w:r w:rsidRPr="00B76460">
        <w:rPr>
          <w:rFonts w:ascii="Garamond" w:hAnsi="Garamond"/>
          <w:i/>
          <w:iCs/>
          <w:sz w:val="20"/>
          <w:szCs w:val="20"/>
        </w:rPr>
        <w:t>= (</w:t>
      </w:r>
      <w:proofErr w:type="spellStart"/>
      <w:r w:rsidRPr="00B76460">
        <w:rPr>
          <w:rFonts w:ascii="Garamond" w:hAnsi="Garamond"/>
          <w:i/>
          <w:iCs/>
          <w:sz w:val="20"/>
          <w:szCs w:val="20"/>
        </w:rPr>
        <w:t>R</w:t>
      </w:r>
      <w:r w:rsidRPr="00B76460">
        <w:rPr>
          <w:rFonts w:ascii="Garamond" w:hAnsi="Garamond"/>
          <w:i/>
          <w:iCs/>
          <w:sz w:val="20"/>
          <w:szCs w:val="20"/>
          <w:vertAlign w:val="subscript"/>
        </w:rPr>
        <w:t>C,t</w:t>
      </w:r>
      <w:proofErr w:type="spellEnd"/>
      <w:r w:rsidRPr="00B76460">
        <w:rPr>
          <w:rFonts w:ascii="Garamond" w:hAnsi="Garamond"/>
          <w:i/>
          <w:iCs/>
          <w:sz w:val="20"/>
          <w:szCs w:val="20"/>
          <w:vertAlign w:val="subscript"/>
        </w:rPr>
        <w:t xml:space="preserve"> </w:t>
      </w:r>
      <w:r w:rsidRPr="00B76460">
        <w:rPr>
          <w:rFonts w:ascii="Garamond" w:hAnsi="Garamond"/>
          <w:i/>
          <w:iCs/>
          <w:sz w:val="20"/>
          <w:szCs w:val="20"/>
        </w:rPr>
        <w:t xml:space="preserve">+ </w:t>
      </w:r>
      <w:proofErr w:type="spellStart"/>
      <w:r w:rsidRPr="00B76460">
        <w:rPr>
          <w:rFonts w:ascii="Garamond" w:hAnsi="Garamond"/>
          <w:i/>
          <w:iCs/>
          <w:sz w:val="20"/>
          <w:szCs w:val="20"/>
        </w:rPr>
        <w:t>R</w:t>
      </w:r>
      <w:r w:rsidRPr="00B76460">
        <w:rPr>
          <w:rFonts w:ascii="Garamond" w:hAnsi="Garamond"/>
          <w:i/>
          <w:iCs/>
          <w:sz w:val="20"/>
          <w:szCs w:val="20"/>
          <w:vertAlign w:val="subscript"/>
        </w:rPr>
        <w:t>U,t</w:t>
      </w:r>
      <w:proofErr w:type="spellEnd"/>
      <w:r w:rsidRPr="00B76460">
        <w:rPr>
          <w:rFonts w:ascii="Garamond" w:hAnsi="Garamond"/>
          <w:i/>
          <w:iCs/>
          <w:sz w:val="20"/>
          <w:szCs w:val="20"/>
        </w:rPr>
        <w:t xml:space="preserve">) / 2. – </w:t>
      </w:r>
      <w:proofErr w:type="spellStart"/>
      <w:proofErr w:type="gramStart"/>
      <w:r w:rsidRPr="00B76460">
        <w:rPr>
          <w:rFonts w:ascii="Garamond" w:hAnsi="Garamond"/>
          <w:i/>
          <w:iCs/>
          <w:sz w:val="20"/>
          <w:szCs w:val="20"/>
        </w:rPr>
        <w:t>V</w:t>
      </w:r>
      <w:r w:rsidRPr="00B76460">
        <w:rPr>
          <w:rFonts w:ascii="Garamond" w:hAnsi="Garamond"/>
          <w:i/>
          <w:iCs/>
          <w:sz w:val="20"/>
          <w:szCs w:val="20"/>
          <w:vertAlign w:val="subscript"/>
        </w:rPr>
        <w:t>t</w:t>
      </w:r>
      <w:proofErr w:type="spellEnd"/>
      <w:r w:rsidRPr="00B76460">
        <w:rPr>
          <w:rFonts w:ascii="Garamond" w:hAnsi="Garamond"/>
          <w:i/>
          <w:iCs/>
          <w:sz w:val="20"/>
          <w:szCs w:val="20"/>
        </w:rPr>
        <w:t>(</w:t>
      </w:r>
      <w:proofErr w:type="gramEnd"/>
      <w:r w:rsidRPr="00B76460">
        <w:rPr>
          <w:rFonts w:ascii="Garamond" w:hAnsi="Garamond"/>
          <w:i/>
          <w:iCs/>
          <w:sz w:val="20"/>
          <w:szCs w:val="20"/>
        </w:rPr>
        <w:t>s)</w:t>
      </w:r>
      <w:r w:rsidRPr="00B76460">
        <w:rPr>
          <w:rFonts w:ascii="Garamond" w:hAnsi="Garamond"/>
          <w:sz w:val="20"/>
          <w:szCs w:val="20"/>
        </w:rPr>
        <w:t>.</w:t>
      </w:r>
    </w:p>
    <w:p w14:paraId="4211F76B" w14:textId="60B7B561" w:rsidR="0068385E" w:rsidRDefault="0068385E" w:rsidP="0068385E">
      <w:pPr>
        <w:spacing w:line="360" w:lineRule="auto"/>
        <w:jc w:val="both"/>
        <w:rPr>
          <w:rFonts w:ascii="Garamond" w:hAnsi="Garamond"/>
          <w:sz w:val="20"/>
          <w:szCs w:val="20"/>
        </w:rPr>
      </w:pPr>
      <w:r w:rsidRPr="00B76460">
        <w:rPr>
          <w:rFonts w:ascii="Garamond" w:hAnsi="Garamond"/>
          <w:sz w:val="20"/>
          <w:szCs w:val="20"/>
        </w:rPr>
        <w:t>Accordingly, we believe that a model that integrates (R</w:t>
      </w:r>
      <w:r w:rsidRPr="00B76460">
        <w:rPr>
          <w:rFonts w:ascii="Garamond" w:hAnsi="Garamond"/>
          <w:sz w:val="20"/>
          <w:szCs w:val="20"/>
          <w:vertAlign w:val="subscript"/>
        </w:rPr>
        <w:t>U</w:t>
      </w:r>
      <w:r w:rsidRPr="00B76460">
        <w:rPr>
          <w:rFonts w:ascii="Garamond" w:hAnsi="Garamond"/>
          <w:sz w:val="20"/>
          <w:szCs w:val="20"/>
        </w:rPr>
        <w:t>) information to update context value but does not use this information to update the unchosen option value would be conceptually unsound. However, for the sake of completeness, we nonetheless ran an additional model comparison analysis involving such a model (Model 4; value contextualisation without counterfactual learning) and found that the addition of this model did not affect our main results and conclusions: adolescent behaviour was still better explained by Model 1 (Model 1: PP=</w:t>
      </w:r>
      <w:r w:rsidRPr="00B76460">
        <w:rPr>
          <w:rFonts w:ascii="Garamond" w:eastAsia="Times New Roman" w:hAnsi="Garamond" w:cs="Arial"/>
          <w:sz w:val="20"/>
          <w:szCs w:val="20"/>
          <w:shd w:val="clear" w:color="auto" w:fill="FFFFFF"/>
        </w:rPr>
        <w:t>0.49±0.04</w:t>
      </w:r>
      <w:r w:rsidRPr="00B76460">
        <w:rPr>
          <w:rFonts w:ascii="Garamond" w:hAnsi="Garamond"/>
          <w:sz w:val="20"/>
          <w:szCs w:val="20"/>
        </w:rPr>
        <w:t>; XP=0.6; Model 4 PP=</w:t>
      </w:r>
      <w:r w:rsidRPr="00B76460">
        <w:rPr>
          <w:rFonts w:ascii="Garamond" w:eastAsia="Times New Roman" w:hAnsi="Garamond" w:cs="Arial"/>
          <w:sz w:val="20"/>
          <w:szCs w:val="20"/>
          <w:shd w:val="clear" w:color="auto" w:fill="FFFFFF"/>
        </w:rPr>
        <w:t>0.08±0.02</w:t>
      </w:r>
      <w:r w:rsidRPr="00B76460">
        <w:rPr>
          <w:rFonts w:ascii="Garamond" w:hAnsi="Garamond"/>
          <w:sz w:val="20"/>
          <w:szCs w:val="20"/>
        </w:rPr>
        <w:t>; XP=0) and adult behaviour was better explained by Model 3 (Model 3: PP=</w:t>
      </w:r>
      <w:r w:rsidRPr="00B76460">
        <w:rPr>
          <w:rFonts w:ascii="Garamond" w:eastAsia="Times New Roman" w:hAnsi="Garamond" w:cs="Arial"/>
          <w:sz w:val="20"/>
          <w:szCs w:val="20"/>
          <w:shd w:val="clear" w:color="auto" w:fill="FFFFFF"/>
        </w:rPr>
        <w:t>0.49±0.04</w:t>
      </w:r>
      <w:r w:rsidRPr="00B76460">
        <w:rPr>
          <w:rFonts w:ascii="Garamond" w:hAnsi="Garamond"/>
          <w:sz w:val="20"/>
          <w:szCs w:val="20"/>
        </w:rPr>
        <w:t>; XP=0.6; Model 4 PP=</w:t>
      </w:r>
      <w:r w:rsidRPr="00B76460">
        <w:rPr>
          <w:rFonts w:ascii="Garamond" w:eastAsia="Times New Roman" w:hAnsi="Garamond" w:cs="Arial"/>
          <w:sz w:val="20"/>
          <w:szCs w:val="20"/>
          <w:shd w:val="clear" w:color="auto" w:fill="FFFFFF"/>
        </w:rPr>
        <w:t>0.08±0.02</w:t>
      </w:r>
      <w:r w:rsidRPr="00B76460">
        <w:rPr>
          <w:rFonts w:ascii="Garamond" w:hAnsi="Garamond"/>
          <w:sz w:val="20"/>
          <w:szCs w:val="20"/>
        </w:rPr>
        <w:t>; XP=0) (</w:t>
      </w:r>
      <w:r w:rsidR="00CF405F" w:rsidRPr="00CF405F">
        <w:rPr>
          <w:rFonts w:ascii="Garamond" w:hAnsi="Garamond"/>
          <w:b/>
          <w:sz w:val="20"/>
          <w:szCs w:val="20"/>
        </w:rPr>
        <w:t>S4</w:t>
      </w:r>
      <w:bookmarkStart w:id="1" w:name="_GoBack"/>
      <w:bookmarkEnd w:id="1"/>
      <w:r w:rsidR="00CF405F" w:rsidRPr="00CF405F">
        <w:rPr>
          <w:rFonts w:ascii="Garamond" w:hAnsi="Garamond"/>
          <w:b/>
          <w:sz w:val="20"/>
          <w:szCs w:val="20"/>
        </w:rPr>
        <w:t xml:space="preserve"> </w:t>
      </w:r>
      <w:r w:rsidRPr="00B76460">
        <w:rPr>
          <w:rFonts w:ascii="Garamond" w:hAnsi="Garamond"/>
          <w:b/>
          <w:sz w:val="20"/>
          <w:szCs w:val="20"/>
        </w:rPr>
        <w:t>Table</w:t>
      </w:r>
      <w:r w:rsidRPr="00B76460">
        <w:rPr>
          <w:rFonts w:ascii="Garamond" w:hAnsi="Garamond"/>
          <w:sz w:val="20"/>
          <w:szCs w:val="20"/>
        </w:rPr>
        <w:t>).</w:t>
      </w:r>
    </w:p>
    <w:p w14:paraId="464D91F2" w14:textId="77777777" w:rsidR="0068385E" w:rsidRDefault="0068385E" w:rsidP="0068385E">
      <w:pPr>
        <w:spacing w:line="360" w:lineRule="auto"/>
        <w:jc w:val="both"/>
        <w:rPr>
          <w:rFonts w:ascii="Garamond" w:hAnsi="Garamond"/>
          <w:sz w:val="20"/>
          <w:szCs w:val="20"/>
        </w:rPr>
      </w:pPr>
    </w:p>
    <w:p w14:paraId="28E4D518" w14:textId="77777777" w:rsidR="0068385E" w:rsidRPr="0068385E" w:rsidRDefault="005301EB" w:rsidP="0068385E">
      <w:pPr>
        <w:spacing w:line="360" w:lineRule="auto"/>
        <w:jc w:val="both"/>
        <w:rPr>
          <w:rFonts w:ascii="Garamond" w:hAnsi="Garamond"/>
          <w:b/>
          <w:sz w:val="20"/>
          <w:szCs w:val="20"/>
        </w:rPr>
      </w:pPr>
      <w:r>
        <w:rPr>
          <w:rFonts w:ascii="Garamond" w:hAnsi="Garamond"/>
          <w:b/>
          <w:sz w:val="20"/>
          <w:szCs w:val="20"/>
        </w:rPr>
        <w:t>References</w:t>
      </w:r>
    </w:p>
    <w:p w14:paraId="6DCFCDF0" w14:textId="77777777" w:rsidR="0068385E" w:rsidRPr="0068385E" w:rsidRDefault="0068385E" w:rsidP="0068385E">
      <w:pPr>
        <w:widowControl w:val="0"/>
        <w:autoSpaceDE w:val="0"/>
        <w:autoSpaceDN w:val="0"/>
        <w:adjustRightInd w:val="0"/>
        <w:ind w:left="640" w:hanging="640"/>
        <w:rPr>
          <w:rFonts w:ascii="Garamond" w:hAnsi="Garamond"/>
          <w:noProof/>
          <w:sz w:val="20"/>
          <w:szCs w:val="20"/>
          <w:lang w:val="fr-FR"/>
        </w:rPr>
      </w:pPr>
      <w:r w:rsidRPr="0068385E">
        <w:rPr>
          <w:rFonts w:ascii="Garamond" w:hAnsi="Garamond"/>
          <w:sz w:val="20"/>
          <w:szCs w:val="20"/>
        </w:rPr>
        <w:fldChar w:fldCharType="begin" w:fldLock="1"/>
      </w:r>
      <w:r w:rsidRPr="0068385E">
        <w:rPr>
          <w:rFonts w:ascii="Garamond" w:hAnsi="Garamond"/>
          <w:sz w:val="20"/>
          <w:szCs w:val="20"/>
        </w:rPr>
        <w:instrText xml:space="preserve">ADDIN Mendeley Bibliography CSL_BIBLIOGRAPHY </w:instrText>
      </w:r>
      <w:r w:rsidRPr="0068385E">
        <w:rPr>
          <w:rFonts w:ascii="Garamond" w:hAnsi="Garamond"/>
          <w:sz w:val="20"/>
          <w:szCs w:val="20"/>
        </w:rPr>
        <w:fldChar w:fldCharType="separate"/>
      </w:r>
      <w:r w:rsidRPr="0068385E">
        <w:rPr>
          <w:rFonts w:ascii="Garamond" w:hAnsi="Garamond"/>
          <w:noProof/>
          <w:sz w:val="20"/>
          <w:szCs w:val="20"/>
          <w:lang w:val="fr-FR"/>
        </w:rPr>
        <w:t xml:space="preserve">1. </w:t>
      </w:r>
      <w:r w:rsidRPr="0068385E">
        <w:rPr>
          <w:rFonts w:ascii="Garamond" w:hAnsi="Garamond"/>
          <w:noProof/>
          <w:sz w:val="20"/>
          <w:szCs w:val="20"/>
          <w:lang w:val="fr-FR"/>
        </w:rPr>
        <w:tab/>
        <w:t xml:space="preserve">A. G. Fischer, M. Ullsperger, </w:t>
      </w:r>
      <w:r w:rsidRPr="0068385E">
        <w:rPr>
          <w:rFonts w:ascii="Garamond" w:hAnsi="Garamond"/>
          <w:i/>
          <w:iCs/>
          <w:noProof/>
          <w:sz w:val="20"/>
          <w:szCs w:val="20"/>
          <w:lang w:val="fr-FR"/>
        </w:rPr>
        <w:t>Neuron</w:t>
      </w:r>
      <w:r w:rsidRPr="0068385E">
        <w:rPr>
          <w:rFonts w:ascii="Garamond" w:hAnsi="Garamond"/>
          <w:noProof/>
          <w:sz w:val="20"/>
          <w:szCs w:val="20"/>
          <w:lang w:val="fr-FR"/>
        </w:rPr>
        <w:t xml:space="preserve">. </w:t>
      </w:r>
      <w:r w:rsidRPr="0068385E">
        <w:rPr>
          <w:rFonts w:ascii="Garamond" w:hAnsi="Garamond"/>
          <w:b/>
          <w:bCs/>
          <w:noProof/>
          <w:sz w:val="20"/>
          <w:szCs w:val="20"/>
          <w:lang w:val="fr-FR"/>
        </w:rPr>
        <w:t>79</w:t>
      </w:r>
      <w:r w:rsidRPr="0068385E">
        <w:rPr>
          <w:rFonts w:ascii="Garamond" w:hAnsi="Garamond"/>
          <w:noProof/>
          <w:sz w:val="20"/>
          <w:szCs w:val="20"/>
          <w:lang w:val="fr-FR"/>
        </w:rPr>
        <w:t>, 1243–55 (2013).</w:t>
      </w:r>
    </w:p>
    <w:p w14:paraId="581C5052" w14:textId="77777777" w:rsidR="0068385E" w:rsidRPr="0068385E" w:rsidRDefault="0068385E" w:rsidP="0068385E">
      <w:pPr>
        <w:widowControl w:val="0"/>
        <w:autoSpaceDE w:val="0"/>
        <w:autoSpaceDN w:val="0"/>
        <w:adjustRightInd w:val="0"/>
        <w:ind w:left="640" w:hanging="640"/>
        <w:rPr>
          <w:rFonts w:ascii="Garamond" w:hAnsi="Garamond"/>
          <w:noProof/>
          <w:sz w:val="20"/>
          <w:szCs w:val="20"/>
          <w:lang w:val="fr-FR"/>
        </w:rPr>
      </w:pPr>
      <w:r w:rsidRPr="0068385E">
        <w:rPr>
          <w:rFonts w:ascii="Garamond" w:hAnsi="Garamond"/>
          <w:noProof/>
          <w:sz w:val="20"/>
          <w:szCs w:val="20"/>
          <w:lang w:val="fr-FR"/>
        </w:rPr>
        <w:t xml:space="preserve">2. </w:t>
      </w:r>
      <w:r w:rsidRPr="0068385E">
        <w:rPr>
          <w:rFonts w:ascii="Garamond" w:hAnsi="Garamond"/>
          <w:noProof/>
          <w:sz w:val="20"/>
          <w:szCs w:val="20"/>
          <w:lang w:val="fr-FR"/>
        </w:rPr>
        <w:tab/>
        <w:t xml:space="preserve">E. D. Boorman, T. E. Behrens, M. F. Rushworth, </w:t>
      </w:r>
      <w:r w:rsidRPr="0068385E">
        <w:rPr>
          <w:rFonts w:ascii="Garamond" w:hAnsi="Garamond"/>
          <w:i/>
          <w:iCs/>
          <w:noProof/>
          <w:sz w:val="20"/>
          <w:szCs w:val="20"/>
          <w:lang w:val="fr-FR"/>
        </w:rPr>
        <w:t>PLoS Biol.</w:t>
      </w:r>
      <w:r w:rsidRPr="0068385E">
        <w:rPr>
          <w:rFonts w:ascii="Garamond" w:hAnsi="Garamond"/>
          <w:noProof/>
          <w:sz w:val="20"/>
          <w:szCs w:val="20"/>
          <w:lang w:val="fr-FR"/>
        </w:rPr>
        <w:t xml:space="preserve"> </w:t>
      </w:r>
      <w:r w:rsidRPr="0068385E">
        <w:rPr>
          <w:rFonts w:ascii="Garamond" w:hAnsi="Garamond"/>
          <w:b/>
          <w:bCs/>
          <w:noProof/>
          <w:sz w:val="20"/>
          <w:szCs w:val="20"/>
          <w:lang w:val="fr-FR"/>
        </w:rPr>
        <w:t>9</w:t>
      </w:r>
      <w:r w:rsidRPr="0068385E">
        <w:rPr>
          <w:rFonts w:ascii="Garamond" w:hAnsi="Garamond"/>
          <w:noProof/>
          <w:sz w:val="20"/>
          <w:szCs w:val="20"/>
          <w:lang w:val="fr-FR"/>
        </w:rPr>
        <w:t xml:space="preserve"> (2011), doi:10.1371/journal.pbio.1001093.</w:t>
      </w:r>
    </w:p>
    <w:p w14:paraId="5142356D" w14:textId="77777777" w:rsidR="0068385E" w:rsidRPr="0068385E" w:rsidRDefault="0068385E" w:rsidP="0068385E">
      <w:pPr>
        <w:widowControl w:val="0"/>
        <w:autoSpaceDE w:val="0"/>
        <w:autoSpaceDN w:val="0"/>
        <w:adjustRightInd w:val="0"/>
        <w:ind w:left="640" w:hanging="640"/>
        <w:rPr>
          <w:rFonts w:ascii="Garamond" w:hAnsi="Garamond"/>
          <w:noProof/>
          <w:sz w:val="20"/>
          <w:szCs w:val="20"/>
        </w:rPr>
      </w:pPr>
      <w:r w:rsidRPr="0068385E">
        <w:rPr>
          <w:rFonts w:ascii="Garamond" w:hAnsi="Garamond"/>
          <w:noProof/>
          <w:sz w:val="20"/>
          <w:szCs w:val="20"/>
          <w:lang w:val="fr-FR"/>
        </w:rPr>
        <w:t xml:space="preserve">3. </w:t>
      </w:r>
      <w:r w:rsidRPr="0068385E">
        <w:rPr>
          <w:rFonts w:ascii="Garamond" w:hAnsi="Garamond"/>
          <w:noProof/>
          <w:sz w:val="20"/>
          <w:szCs w:val="20"/>
          <w:lang w:val="fr-FR"/>
        </w:rPr>
        <w:tab/>
        <w:t xml:space="preserve">J. Li, N. D. Daw, </w:t>
      </w:r>
      <w:r w:rsidRPr="0068385E">
        <w:rPr>
          <w:rFonts w:ascii="Garamond" w:hAnsi="Garamond"/>
          <w:i/>
          <w:iCs/>
          <w:noProof/>
          <w:sz w:val="20"/>
          <w:szCs w:val="20"/>
          <w:lang w:val="fr-FR"/>
        </w:rPr>
        <w:t>J. Neurosci.</w:t>
      </w:r>
      <w:r w:rsidRPr="0068385E">
        <w:rPr>
          <w:rFonts w:ascii="Garamond" w:hAnsi="Garamond"/>
          <w:noProof/>
          <w:sz w:val="20"/>
          <w:szCs w:val="20"/>
          <w:lang w:val="fr-FR"/>
        </w:rPr>
        <w:t xml:space="preserve"> </w:t>
      </w:r>
      <w:r w:rsidRPr="0068385E">
        <w:rPr>
          <w:rFonts w:ascii="Garamond" w:hAnsi="Garamond"/>
          <w:b/>
          <w:bCs/>
          <w:noProof/>
          <w:sz w:val="20"/>
          <w:szCs w:val="20"/>
          <w:lang w:val="fr-FR"/>
        </w:rPr>
        <w:t>31</w:t>
      </w:r>
      <w:r w:rsidRPr="0068385E">
        <w:rPr>
          <w:rFonts w:ascii="Garamond" w:hAnsi="Garamond"/>
          <w:noProof/>
          <w:sz w:val="20"/>
          <w:szCs w:val="20"/>
          <w:lang w:val="fr-FR"/>
        </w:rPr>
        <w:t>, 5504–5511 (2011).</w:t>
      </w:r>
    </w:p>
    <w:p w14:paraId="7408760E" w14:textId="77777777" w:rsidR="00431AC3" w:rsidRDefault="0068385E">
      <w:r w:rsidRPr="0068385E">
        <w:rPr>
          <w:rFonts w:ascii="Garamond" w:hAnsi="Garamond"/>
          <w:sz w:val="20"/>
          <w:szCs w:val="20"/>
        </w:rPr>
        <w:fldChar w:fldCharType="end"/>
      </w:r>
    </w:p>
    <w:sectPr w:rsidR="00431AC3" w:rsidSect="00431A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85E"/>
    <w:rsid w:val="00431AC3"/>
    <w:rsid w:val="005301EB"/>
    <w:rsid w:val="0068385E"/>
    <w:rsid w:val="00CF4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A88A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5E"/>
    <w:rPr>
      <w:rFonts w:ascii="Cambria" w:eastAsia="MS Mincho" w:hAnsi="Cambria" w:cs="Times New Roman"/>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85E"/>
    <w:rPr>
      <w:rFonts w:ascii="Cambria" w:eastAsia="MS Mincho" w:hAnsi="Cambria" w:cs="Times New Roman"/>
      <w:lang w:val="en-GB"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1532</Words>
  <Characters>8432</Characters>
  <Application>Microsoft Macintosh Word</Application>
  <DocSecurity>0</DocSecurity>
  <Lines>70</Lines>
  <Paragraphs>19</Paragraphs>
  <ScaleCrop>false</ScaleCrop>
  <Company>INSERM</Company>
  <LinksUpToDate>false</LinksUpToDate>
  <CharactersWithSpaces>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Palminteri</dc:creator>
  <cp:keywords/>
  <dc:description/>
  <cp:lastModifiedBy>Stefano Palminteri</cp:lastModifiedBy>
  <cp:revision>3</cp:revision>
  <dcterms:created xsi:type="dcterms:W3CDTF">2016-05-23T07:52:00Z</dcterms:created>
  <dcterms:modified xsi:type="dcterms:W3CDTF">2016-05-23T09:04:00Z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stefano.palminteri@gmail.com@www.mendeley.com</vt:lpwstr>
  </property>
  <property fmtid="{D5CDD505-2E9C-101B-9397-08002B2CF9AE}" pid="4" name="Mendeley Citation Style_1">
    <vt:lpwstr>http://www.zotero.org/styles/science-without-titles</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http://www.zotero.org/styles/ieee</vt:lpwstr>
  </property>
  <property fmtid="{D5CDD505-2E9C-101B-9397-08002B2CF9AE}" pid="14" name="Mendeley Recent Style Name 4_1">
    <vt:lpwstr>IEEE</vt:lpwstr>
  </property>
  <property fmtid="{D5CDD505-2E9C-101B-9397-08002B2CF9AE}" pid="15" name="Mendeley Recent Style Id 5_1">
    <vt:lpwstr>http://www.zotero.org/styles/nature-communications</vt:lpwstr>
  </property>
  <property fmtid="{D5CDD505-2E9C-101B-9397-08002B2CF9AE}" pid="16" name="Mendeley Recent Style Name 5_1">
    <vt:lpwstr>Nature Communications</vt:lpwstr>
  </property>
  <property fmtid="{D5CDD505-2E9C-101B-9397-08002B2CF9AE}" pid="17" name="Mendeley Recent Style Id 6_1">
    <vt:lpwstr>http://www.zotero.org/styles/nature-neuroscience</vt:lpwstr>
  </property>
  <property fmtid="{D5CDD505-2E9C-101B-9397-08002B2CF9AE}" pid="18" name="Mendeley Recent Style Name 6_1">
    <vt:lpwstr>Nature Neuroscience</vt:lpwstr>
  </property>
  <property fmtid="{D5CDD505-2E9C-101B-9397-08002B2CF9AE}" pid="19" name="Mendeley Recent Style Id 7_1">
    <vt:lpwstr>http://www.zotero.org/styles/plos-biology</vt:lpwstr>
  </property>
  <property fmtid="{D5CDD505-2E9C-101B-9397-08002B2CF9AE}" pid="20" name="Mendeley Recent Style Name 7_1">
    <vt:lpwstr>PLOS Biology</vt:lpwstr>
  </property>
  <property fmtid="{D5CDD505-2E9C-101B-9397-08002B2CF9AE}" pid="21" name="Mendeley Recent Style Id 8_1">
    <vt:lpwstr>http://www.zotero.org/styles/science-without-titles</vt:lpwstr>
  </property>
  <property fmtid="{D5CDD505-2E9C-101B-9397-08002B2CF9AE}" pid="22" name="Mendeley Recent Style Name 8_1">
    <vt:lpwstr>Science (without titles)</vt:lpwstr>
  </property>
  <property fmtid="{D5CDD505-2E9C-101B-9397-08002B2CF9AE}" pid="23" name="Mendeley Recent Style Id 9_1">
    <vt:lpwstr>http://www.zotero.org/styles/trends-in-cognitive-sciences</vt:lpwstr>
  </property>
  <property fmtid="{D5CDD505-2E9C-101B-9397-08002B2CF9AE}" pid="24" name="Mendeley Recent Style Name 9_1">
    <vt:lpwstr>Trends in Cognitive Sciences</vt:lpwstr>
  </property>
</Properties>
</file>