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64C5" w14:textId="77777777" w:rsidR="003D512D" w:rsidRPr="007E755C" w:rsidRDefault="003D512D" w:rsidP="00551BB5">
      <w:pPr>
        <w:jc w:val="both"/>
        <w:rPr>
          <w:rFonts w:ascii="Arial" w:hAnsi="Arial" w:cs="Arial"/>
          <w:b/>
          <w:sz w:val="22"/>
          <w:szCs w:val="22"/>
        </w:rPr>
      </w:pPr>
      <w:r w:rsidRPr="007E755C">
        <w:rPr>
          <w:rFonts w:ascii="Arial" w:hAnsi="Arial" w:cs="Arial"/>
          <w:b/>
          <w:sz w:val="22"/>
          <w:szCs w:val="22"/>
        </w:rPr>
        <w:t>Table S6.  Complete heterosubtypic coverage and resistance hedging when only full-length viral segment sequences were analysed</w:t>
      </w:r>
    </w:p>
    <w:p w14:paraId="7C095496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6165" w:type="dxa"/>
        <w:jc w:val="center"/>
        <w:tblLook w:val="04A0" w:firstRow="1" w:lastRow="0" w:firstColumn="1" w:lastColumn="0" w:noHBand="0" w:noVBand="1"/>
      </w:tblPr>
      <w:tblGrid>
        <w:gridCol w:w="574"/>
        <w:gridCol w:w="2210"/>
        <w:gridCol w:w="1648"/>
        <w:gridCol w:w="1733"/>
      </w:tblGrid>
      <w:tr w:rsidR="00551BB5" w:rsidRPr="007E755C" w14:paraId="31342B3C" w14:textId="77777777" w:rsidTr="008A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nil"/>
            </w:tcBorders>
            <w:hideMark/>
          </w:tcPr>
          <w:p w14:paraId="0CFEEBD1" w14:textId="77777777" w:rsidR="00551BB5" w:rsidRPr="007E755C" w:rsidRDefault="00551BB5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E755C">
              <w:rPr>
                <w:rFonts w:ascii="Arial" w:hAnsi="Arial" w:cs="Arial"/>
                <w:color w:val="auto"/>
                <w:sz w:val="28"/>
                <w:szCs w:val="28"/>
              </w:rPr>
              <w:t>A</w:t>
            </w:r>
          </w:p>
        </w:tc>
        <w:tc>
          <w:tcPr>
            <w:tcW w:w="2210" w:type="dxa"/>
            <w:tcBorders>
              <w:top w:val="nil"/>
              <w:right w:val="single" w:sz="4" w:space="0" w:color="auto"/>
            </w:tcBorders>
            <w:hideMark/>
          </w:tcPr>
          <w:p w14:paraId="2AA96501" w14:textId="77777777" w:rsidR="00551BB5" w:rsidRPr="007E755C" w:rsidRDefault="00551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Target sequences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40E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5-S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4200BBDF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3-S</w:t>
            </w:r>
          </w:p>
        </w:tc>
      </w:tr>
      <w:tr w:rsidR="00551BB5" w:rsidRPr="007E755C" w14:paraId="52FFFF95" w14:textId="77777777" w:rsidTr="008A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396B72BE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A39C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Segment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E1A878B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CE9A3E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</w:tr>
      <w:tr w:rsidR="00551BB5" w:rsidRPr="007E755C" w14:paraId="1BA3818C" w14:textId="77777777" w:rsidTr="008A5D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41FCE6C6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1E2E0622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AE15C6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156 (156)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863B73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2,722 (2,722)</w:t>
            </w:r>
          </w:p>
        </w:tc>
      </w:tr>
      <w:tr w:rsidR="00551BB5" w:rsidRPr="007E755C" w14:paraId="32250C1D" w14:textId="77777777" w:rsidTr="008A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AAD985F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0BB5D6A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4EFB6A5F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243 (243)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1E2CA790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279 (279)</w:t>
            </w:r>
          </w:p>
        </w:tc>
      </w:tr>
      <w:tr w:rsidR="00551BB5" w:rsidRPr="007E755C" w14:paraId="522D6863" w14:textId="77777777" w:rsidTr="008A5D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524E9557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BC41E8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D3AE1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49 (49)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CA265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493 (493)</w:t>
            </w:r>
          </w:p>
        </w:tc>
      </w:tr>
      <w:tr w:rsidR="00551BB5" w:rsidRPr="007E755C" w14:paraId="4FFC21C3" w14:textId="77777777" w:rsidTr="008A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330A922E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3796BDFC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D034D22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107 (107)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72B2C9FF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281 (281)</w:t>
            </w:r>
          </w:p>
        </w:tc>
      </w:tr>
      <w:tr w:rsidR="00551BB5" w:rsidRPr="007E755C" w14:paraId="049122FB" w14:textId="77777777" w:rsidTr="008A5D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16A825DC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BC1319A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8C22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594 (594)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85C3604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1,695* (1,696)</w:t>
            </w:r>
          </w:p>
        </w:tc>
      </w:tr>
      <w:tr w:rsidR="00551BB5" w:rsidRPr="007E755C" w14:paraId="313C90BA" w14:textId="77777777" w:rsidTr="008A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4EF79D79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0C60FDD5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FF683CE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34 (34)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2F2B7537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52 (52)</w:t>
            </w:r>
          </w:p>
        </w:tc>
      </w:tr>
      <w:tr w:rsidR="00551BB5" w:rsidRPr="007E755C" w14:paraId="068DD76B" w14:textId="77777777" w:rsidTr="008A5D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bottom w:val="nil"/>
            </w:tcBorders>
          </w:tcPr>
          <w:p w14:paraId="7B890FED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5434E79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A471E2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1,183 (1,183)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BB1942A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5,522 (5,523)</w:t>
            </w:r>
          </w:p>
        </w:tc>
      </w:tr>
    </w:tbl>
    <w:p w14:paraId="0A8DD447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15684E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6030" w:type="dxa"/>
        <w:jc w:val="center"/>
        <w:tblLook w:val="04A0" w:firstRow="1" w:lastRow="0" w:firstColumn="1" w:lastColumn="0" w:noHBand="0" w:noVBand="1"/>
      </w:tblPr>
      <w:tblGrid>
        <w:gridCol w:w="574"/>
        <w:gridCol w:w="1916"/>
        <w:gridCol w:w="1648"/>
        <w:gridCol w:w="1892"/>
      </w:tblGrid>
      <w:tr w:rsidR="00551BB5" w:rsidRPr="007E755C" w14:paraId="09955959" w14:textId="77777777" w:rsidTr="00781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nil"/>
            </w:tcBorders>
            <w:hideMark/>
          </w:tcPr>
          <w:p w14:paraId="164F613D" w14:textId="77777777" w:rsidR="00551BB5" w:rsidRPr="007E755C" w:rsidRDefault="00551BB5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E755C">
              <w:rPr>
                <w:rFonts w:ascii="Arial" w:hAnsi="Arial" w:cs="Arial"/>
                <w:color w:val="auto"/>
                <w:sz w:val="28"/>
                <w:szCs w:val="28"/>
              </w:rPr>
              <w:t>B</w:t>
            </w:r>
          </w:p>
        </w:tc>
        <w:tc>
          <w:tcPr>
            <w:tcW w:w="1916" w:type="dxa"/>
            <w:tcBorders>
              <w:top w:val="nil"/>
              <w:right w:val="single" w:sz="4" w:space="0" w:color="auto"/>
            </w:tcBorders>
            <w:hideMark/>
          </w:tcPr>
          <w:p w14:paraId="7E522006" w14:textId="77777777" w:rsidR="00551BB5" w:rsidRPr="007E755C" w:rsidRDefault="00551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 xml:space="preserve">Effective </w:t>
            </w: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Duals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6F3B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5-S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BEEF763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3-S</w:t>
            </w:r>
          </w:p>
        </w:tc>
      </w:tr>
      <w:tr w:rsidR="00551BB5" w:rsidRPr="007E755C" w14:paraId="781038A9" w14:textId="77777777" w:rsidTr="0078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419170A4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E18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Segment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DE4260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A55DE7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</w:tr>
      <w:tr w:rsidR="00551BB5" w:rsidRPr="007E755C" w14:paraId="3546C731" w14:textId="77777777" w:rsidTr="00781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215AB21E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2F6FF327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CFF93B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957 (943)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993302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15,363 (15,363)</w:t>
            </w:r>
          </w:p>
        </w:tc>
      </w:tr>
      <w:tr w:rsidR="00551BB5" w:rsidRPr="007E755C" w14:paraId="07B5CC03" w14:textId="77777777" w:rsidTr="0078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7754791D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7EB75753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5A9E0CDA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36 (36)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7C5FF137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42 (42)</w:t>
            </w:r>
          </w:p>
        </w:tc>
      </w:tr>
      <w:tr w:rsidR="00551BB5" w:rsidRPr="007E755C" w14:paraId="3478223A" w14:textId="77777777" w:rsidTr="00781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4603A79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5AB0145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83188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156 (96)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0FA89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28,676 (6,971)</w:t>
            </w:r>
          </w:p>
        </w:tc>
      </w:tr>
      <w:tr w:rsidR="00551BB5" w:rsidRPr="007E755C" w14:paraId="382C1406" w14:textId="77777777" w:rsidTr="0078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7FC5D758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3E347B9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1436EAF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21** (0)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2F9E752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4,939* (4,167)</w:t>
            </w:r>
          </w:p>
        </w:tc>
      </w:tr>
      <w:tr w:rsidR="00551BB5" w:rsidRPr="007E755C" w14:paraId="68148D51" w14:textId="77777777" w:rsidTr="00781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0E08FEDA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0A25AE6A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0DB58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1,230 (587)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B99B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4,249 (2,578)</w:t>
            </w:r>
          </w:p>
        </w:tc>
      </w:tr>
      <w:tr w:rsidR="00551BB5" w:rsidRPr="007E755C" w14:paraId="05A12651" w14:textId="77777777" w:rsidTr="00781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777E5116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3F9B214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D31711F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4CCD9385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3 (3)</w:t>
            </w:r>
          </w:p>
        </w:tc>
      </w:tr>
      <w:tr w:rsidR="00551BB5" w:rsidRPr="007E755C" w14:paraId="48432613" w14:textId="77777777" w:rsidTr="007817A0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bottom w:val="nil"/>
            </w:tcBorders>
          </w:tcPr>
          <w:p w14:paraId="1247B277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3964C2E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F56F7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2,400 (1,662)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1A0D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53,272 (29,124)</w:t>
            </w:r>
          </w:p>
        </w:tc>
      </w:tr>
    </w:tbl>
    <w:p w14:paraId="531890ED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7CAEC2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49406F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755C">
        <w:rPr>
          <w:rFonts w:ascii="Arial" w:hAnsi="Arial" w:cs="Arial"/>
          <w:b/>
          <w:sz w:val="28"/>
          <w:szCs w:val="28"/>
        </w:rPr>
        <w:t>C</w:t>
      </w:r>
    </w:p>
    <w:tbl>
      <w:tblPr>
        <w:tblStyle w:val="LightShading"/>
        <w:tblW w:w="10839" w:type="dxa"/>
        <w:jc w:val="center"/>
        <w:tblLook w:val="04A0" w:firstRow="1" w:lastRow="0" w:firstColumn="1" w:lastColumn="0" w:noHBand="0" w:noVBand="1"/>
      </w:tblPr>
      <w:tblGrid>
        <w:gridCol w:w="222"/>
        <w:gridCol w:w="2006"/>
        <w:gridCol w:w="683"/>
        <w:gridCol w:w="683"/>
        <w:gridCol w:w="850"/>
        <w:gridCol w:w="850"/>
        <w:gridCol w:w="850"/>
        <w:gridCol w:w="850"/>
        <w:gridCol w:w="1073"/>
        <w:gridCol w:w="961"/>
        <w:gridCol w:w="961"/>
        <w:gridCol w:w="850"/>
      </w:tblGrid>
      <w:tr w:rsidR="003D512D" w:rsidRPr="007E755C" w14:paraId="66D46DF4" w14:textId="77777777" w:rsidTr="003D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vMerge w:val="restart"/>
            <w:tcBorders>
              <w:top w:val="nil"/>
              <w:bottom w:val="nil"/>
            </w:tcBorders>
          </w:tcPr>
          <w:p w14:paraId="6739DB2E" w14:textId="77777777" w:rsidR="003D512D" w:rsidRPr="007E755C" w:rsidRDefault="003D512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377" w14:textId="77777777" w:rsidR="003D512D" w:rsidRPr="007E755C" w:rsidRDefault="003D51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 xml:space="preserve">Effective </w:t>
            </w:r>
            <w:r w:rsidRPr="007E755C">
              <w:rPr>
                <w:rFonts w:ascii="Arial" w:hAnsi="Arial" w:cs="Arial"/>
                <w:i/>
                <w:color w:val="auto"/>
                <w:sz w:val="20"/>
                <w:szCs w:val="20"/>
              </w:rPr>
              <w:t>Doubles</w:t>
            </w:r>
          </w:p>
        </w:tc>
        <w:tc>
          <w:tcPr>
            <w:tcW w:w="3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6A76" w14:textId="77777777" w:rsidR="003D512D" w:rsidRPr="007E755C" w:rsidRDefault="003D51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i/>
                <w:color w:val="auto"/>
                <w:sz w:val="20"/>
                <w:szCs w:val="20"/>
              </w:rPr>
              <w:t>5-S</w:t>
            </w:r>
          </w:p>
        </w:tc>
        <w:tc>
          <w:tcPr>
            <w:tcW w:w="4695" w:type="dxa"/>
            <w:gridSpan w:val="5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9CD642" w14:textId="77777777" w:rsidR="003D512D" w:rsidRPr="007E755C" w:rsidRDefault="003D51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i/>
                <w:color w:val="auto"/>
                <w:sz w:val="20"/>
                <w:szCs w:val="20"/>
              </w:rPr>
              <w:t>3-S</w:t>
            </w:r>
          </w:p>
        </w:tc>
      </w:tr>
      <w:tr w:rsidR="003D512D" w:rsidRPr="007E755C" w14:paraId="68060BD7" w14:textId="77777777" w:rsidTr="003D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E8B0A85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B33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Segment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2BF92B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2D810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27B7CE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C31315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DC6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AC0146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B99625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200BB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A2C000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ACB76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</w:tr>
      <w:tr w:rsidR="003D512D" w:rsidRPr="007E755C" w14:paraId="2B0D39EE" w14:textId="77777777" w:rsidTr="003D51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1343C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DC8AD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85762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528</w:t>
            </w:r>
          </w:p>
          <w:p w14:paraId="034D2FD5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(510)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30C111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696</w:t>
            </w:r>
          </w:p>
          <w:p w14:paraId="406B75F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(645)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99EFA1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6.827</w:t>
            </w:r>
          </w:p>
          <w:p w14:paraId="2D8ADE56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(6,821)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063F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5,853</w:t>
            </w:r>
          </w:p>
          <w:p w14:paraId="2F886CC0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(5,853)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C0D00D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285</w:t>
            </w:r>
          </w:p>
          <w:p w14:paraId="42FA5572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ACBE46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7,598</w:t>
            </w:r>
          </w:p>
          <w:p w14:paraId="360C3E53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(7,598)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BFC727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103,917</w:t>
            </w:r>
          </w:p>
          <w:p w14:paraId="6E47E434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(102,840)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A9234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38,471</w:t>
            </w:r>
          </w:p>
          <w:p w14:paraId="4B97C3B6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(36,287)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3BE966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75,816*</w:t>
            </w:r>
          </w:p>
          <w:p w14:paraId="4D759E15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(63,335)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3E7607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6,137</w:t>
            </w:r>
          </w:p>
          <w:p w14:paraId="5B42C1AF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(4,831)</w:t>
            </w:r>
          </w:p>
        </w:tc>
      </w:tr>
      <w:tr w:rsidR="003D512D" w:rsidRPr="007E755C" w14:paraId="473CB151" w14:textId="77777777" w:rsidTr="003D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57433C2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5F25A37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7D7BC76B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vAlign w:val="center"/>
            <w:hideMark/>
          </w:tcPr>
          <w:p w14:paraId="109E531A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414</w:t>
            </w:r>
          </w:p>
          <w:p w14:paraId="24E6D068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(414)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5D5F5F4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2,280</w:t>
            </w:r>
          </w:p>
          <w:p w14:paraId="3C49791E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(2,280)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69B847D1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3,114</w:t>
            </w:r>
          </w:p>
          <w:p w14:paraId="5DA8078C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(2,634)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23671E9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162</w:t>
            </w:r>
          </w:p>
          <w:p w14:paraId="4DBCA846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(72)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9905AD9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  <w:hideMark/>
          </w:tcPr>
          <w:p w14:paraId="11FA135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6,402</w:t>
            </w:r>
          </w:p>
          <w:p w14:paraId="41C5E380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(4,107)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14:paraId="5FB583FC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4,482</w:t>
            </w:r>
          </w:p>
          <w:p w14:paraId="51953642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(4,482)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14:paraId="644F6867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4,524</w:t>
            </w:r>
          </w:p>
          <w:p w14:paraId="55651CD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(3,828)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23116E9B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312</w:t>
            </w:r>
          </w:p>
          <w:p w14:paraId="6ECCF0B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(162)</w:t>
            </w:r>
          </w:p>
        </w:tc>
      </w:tr>
      <w:tr w:rsidR="003D512D" w:rsidRPr="007E755C" w14:paraId="47BBD0E2" w14:textId="77777777" w:rsidTr="003D51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59D9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2C979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23D819AD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45DB8EC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BFC9F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3,687</w:t>
            </w:r>
          </w:p>
          <w:p w14:paraId="37670CC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(3,687)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2A7F5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969</w:t>
            </w:r>
          </w:p>
          <w:p w14:paraId="6ED21E2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(879)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C525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276</w:t>
            </w:r>
          </w:p>
          <w:p w14:paraId="585034EA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80AD644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2CABFB3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91D6D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35,761</w:t>
            </w:r>
          </w:p>
          <w:p w14:paraId="2F5AD1EA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(28,971)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3C663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15,235</w:t>
            </w:r>
          </w:p>
          <w:p w14:paraId="3F4EAFA3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(11,710)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4DABA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3,469</w:t>
            </w:r>
          </w:p>
          <w:p w14:paraId="5D37FB98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(2,233)</w:t>
            </w:r>
          </w:p>
        </w:tc>
      </w:tr>
      <w:tr w:rsidR="007E755C" w:rsidRPr="007E755C" w14:paraId="5F2F624A" w14:textId="77777777" w:rsidTr="003D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B493FB4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41D8874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4C087620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BA87500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089D76DE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1BE5CB7D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8,322</w:t>
            </w:r>
          </w:p>
          <w:p w14:paraId="59BC2DA9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(2,946)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3308F87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468</w:t>
            </w:r>
          </w:p>
          <w:p w14:paraId="18FEED6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(468)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06E7886E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B6993E9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000000" w:themeFill="text1"/>
          </w:tcPr>
          <w:p w14:paraId="1C5C5B71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14:paraId="1E2CB307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14,538*</w:t>
            </w:r>
          </w:p>
          <w:p w14:paraId="33DCD721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(6,807)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3A35E0A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1,449</w:t>
            </w:r>
          </w:p>
          <w:p w14:paraId="3FF96F4B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(1,404)</w:t>
            </w:r>
          </w:p>
        </w:tc>
      </w:tr>
      <w:tr w:rsidR="003D512D" w:rsidRPr="007E755C" w14:paraId="71FBE7CD" w14:textId="77777777" w:rsidTr="003D51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AAD1D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301184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1CE8F1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214649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592251B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A63455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326B35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1,749</w:t>
            </w:r>
          </w:p>
          <w:p w14:paraId="7247B149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(1,029)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691FFA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2FC875F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E22147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236B80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C4A6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3,631*</w:t>
            </w:r>
          </w:p>
          <w:p w14:paraId="4287E228" w14:textId="77777777" w:rsidR="003D512D" w:rsidRPr="007E755C" w:rsidRDefault="003D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color w:val="auto"/>
                <w:sz w:val="20"/>
                <w:szCs w:val="20"/>
              </w:rPr>
              <w:t>(1,756)</w:t>
            </w:r>
          </w:p>
        </w:tc>
      </w:tr>
      <w:tr w:rsidR="003D512D" w:rsidRPr="007E755C" w14:paraId="68249159" w14:textId="77777777" w:rsidTr="003D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7F8AA6B" w14:textId="77777777" w:rsidR="003D512D" w:rsidRPr="007E755C" w:rsidRDefault="003D512D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9AEA9F4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3916" w:type="dxa"/>
            <w:gridSpan w:val="5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CBAE2BC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35,630 (28,463)</w:t>
            </w:r>
          </w:p>
        </w:tc>
        <w:tc>
          <w:tcPr>
            <w:tcW w:w="4695" w:type="dxa"/>
            <w:gridSpan w:val="5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14:paraId="3899321F" w14:textId="77777777" w:rsidR="003D512D" w:rsidRPr="007E755C" w:rsidRDefault="003D5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755C">
              <w:rPr>
                <w:rFonts w:ascii="Arial" w:hAnsi="Arial" w:cs="Arial"/>
                <w:b/>
                <w:color w:val="auto"/>
                <w:sz w:val="20"/>
                <w:szCs w:val="20"/>
              </w:rPr>
              <w:t>321,742 (280,351)</w:t>
            </w:r>
          </w:p>
        </w:tc>
      </w:tr>
    </w:tbl>
    <w:p w14:paraId="5DE8E51D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AA64F3" w14:textId="77777777" w:rsidR="003D512D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1A9E90" w14:textId="77777777" w:rsidR="00551BB5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41AC70" w14:textId="77777777" w:rsidR="00551BB5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813262" w14:textId="77777777" w:rsidR="00551BB5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76B071" w14:textId="77777777" w:rsidR="00551BB5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5BCCE6" w14:textId="77777777" w:rsidR="00551BB5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D0521E" w14:textId="77777777" w:rsidR="00551BB5" w:rsidRPr="007E755C" w:rsidRDefault="00551BB5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9797" w:type="dxa"/>
        <w:jc w:val="center"/>
        <w:tblLook w:val="04A0" w:firstRow="1" w:lastRow="0" w:firstColumn="1" w:lastColumn="0" w:noHBand="0" w:noVBand="1"/>
      </w:tblPr>
      <w:tblGrid>
        <w:gridCol w:w="574"/>
        <w:gridCol w:w="2747"/>
        <w:gridCol w:w="2749"/>
        <w:gridCol w:w="3727"/>
      </w:tblGrid>
      <w:tr w:rsidR="00551BB5" w:rsidRPr="007E755C" w14:paraId="79B7F1E9" w14:textId="77777777" w:rsidTr="0078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nil"/>
            </w:tcBorders>
            <w:hideMark/>
          </w:tcPr>
          <w:p w14:paraId="05EF88D6" w14:textId="77777777" w:rsidR="00551BB5" w:rsidRPr="007E755C" w:rsidRDefault="00551BB5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E755C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D</w:t>
            </w:r>
          </w:p>
        </w:tc>
        <w:tc>
          <w:tcPr>
            <w:tcW w:w="2747" w:type="dxa"/>
            <w:tcBorders>
              <w:top w:val="nil"/>
              <w:right w:val="single" w:sz="4" w:space="0" w:color="auto"/>
            </w:tcBorders>
            <w:hideMark/>
          </w:tcPr>
          <w:p w14:paraId="516122F4" w14:textId="77777777" w:rsidR="00551BB5" w:rsidRPr="007E755C" w:rsidRDefault="00551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Graphs size distribution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C0BC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5-S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4A9CBAD2" w14:textId="77777777" w:rsidR="00551BB5" w:rsidRPr="007E755C" w:rsidRDefault="00551B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i/>
                <w:color w:val="auto"/>
                <w:sz w:val="22"/>
                <w:szCs w:val="22"/>
              </w:rPr>
              <w:t>3-S</w:t>
            </w:r>
          </w:p>
        </w:tc>
      </w:tr>
      <w:tr w:rsidR="00551BB5" w:rsidRPr="007E755C" w14:paraId="17A91AC0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20C87FDE" w14:textId="77777777" w:rsidR="00551BB5" w:rsidRPr="007E755C" w:rsidRDefault="00551BB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23D1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Graph size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10DD4B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9067451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Counts</w:t>
            </w:r>
          </w:p>
        </w:tc>
      </w:tr>
      <w:tr w:rsidR="00551BB5" w:rsidRPr="007E755C" w14:paraId="3ED7D3F8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4D73EAA0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72FCE2C6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94C049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A1A22F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497,386,251 (0)</w:t>
            </w:r>
          </w:p>
        </w:tc>
      </w:tr>
      <w:tr w:rsidR="00551BB5" w:rsidRPr="007E755C" w14:paraId="7D23E721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78EBA456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030C6FE1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0F2CCF4D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4519782B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7,356,828,159 (539,518,482)</w:t>
            </w:r>
          </w:p>
        </w:tc>
      </w:tr>
      <w:tr w:rsidR="00551BB5" w:rsidRPr="007E755C" w14:paraId="01B34FF2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566D133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3474873E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516B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F51F02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13,311,685,395 (1,359,713,196)</w:t>
            </w:r>
          </w:p>
        </w:tc>
      </w:tr>
      <w:tr w:rsidR="00551BB5" w:rsidRPr="007E755C" w14:paraId="495CC6AC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570E9D93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66C0061D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6FB78516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6E79952D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25,446,077,829 (2,268,239,631)</w:t>
            </w:r>
          </w:p>
        </w:tc>
      </w:tr>
      <w:tr w:rsidR="00551BB5" w:rsidRPr="007E755C" w14:paraId="5D5A88F8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073EA0E9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08AFB7C1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2927ED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ED8D82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41,395,204,197 (4,150,228,191)</w:t>
            </w:r>
          </w:p>
        </w:tc>
      </w:tr>
      <w:tr w:rsidR="00551BB5" w:rsidRPr="007E755C" w14:paraId="5E309AFE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75457CA4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05CB84A9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6BACFC37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31,050 (0)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6654CC5B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58,605,029,064 (5,972,694,501)</w:t>
            </w:r>
          </w:p>
        </w:tc>
      </w:tr>
      <w:tr w:rsidR="00551BB5" w:rsidRPr="007E755C" w14:paraId="7E25BB50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09B6FD9C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4C2BFC66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7EADC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403,380 (0)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DD3ACD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65,331,607,806 (7,372,942,287)</w:t>
            </w:r>
          </w:p>
        </w:tc>
      </w:tr>
      <w:tr w:rsidR="00551BB5" w:rsidRPr="007E755C" w14:paraId="2C700E49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088FDB2F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11D85BF0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344BD311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1,275,156 (0)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5BECF496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57,289,184,010 (6,130,754,955)</w:t>
            </w:r>
          </w:p>
        </w:tc>
      </w:tr>
      <w:tr w:rsidR="00551BB5" w:rsidRPr="007E755C" w14:paraId="7733DB48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1E0E0A8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0B177A94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C648AC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2,995,488 (0)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DEBE35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41,714,899,560 (5,769,792,072)</w:t>
            </w:r>
          </w:p>
        </w:tc>
      </w:tr>
      <w:tr w:rsidR="00551BB5" w:rsidRPr="007E755C" w14:paraId="791E53E7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1B7045CE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3D32B200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5CE36C63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9,397,134 (126,360)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1BC1E942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28,921,666,005 (4,280,931,897)</w:t>
            </w:r>
          </w:p>
        </w:tc>
      </w:tr>
      <w:tr w:rsidR="00551BB5" w:rsidRPr="007E755C" w14:paraId="45F0FA0E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1B85B756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73D71FCD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EBF934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18,730,980 (909,792)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C411F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16,146,455,949 (2,916,639,192)</w:t>
            </w:r>
          </w:p>
        </w:tc>
      </w:tr>
      <w:tr w:rsidR="00551BB5" w:rsidRPr="007E755C" w14:paraId="0A9A76FC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48B5CB12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013C3F2B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7F500EFD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24,155,280 (1,794,312)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3D5BECDC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7,458,580,143 (1,610,712,312)</w:t>
            </w:r>
          </w:p>
        </w:tc>
      </w:tr>
      <w:tr w:rsidR="00551BB5" w:rsidRPr="007E755C" w14:paraId="12A6F2FA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2D36AD3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63B61337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0C1AC4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15,426,612 (4,245,696)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6BBFB8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2,014,509,366 (575,618,256)</w:t>
            </w:r>
          </w:p>
        </w:tc>
      </w:tr>
      <w:tr w:rsidR="00551BB5" w:rsidRPr="007E755C" w14:paraId="7BA785AF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29C4217C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64456285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54E1654D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8,505,864 (3,790,800)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65F824C5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302,888,754 (89,329,752)</w:t>
            </w:r>
          </w:p>
        </w:tc>
      </w:tr>
      <w:tr w:rsidR="00551BB5" w:rsidRPr="007E755C" w14:paraId="30E291DD" w14:textId="77777777" w:rsidTr="00780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</w:tcPr>
          <w:p w14:paraId="64C08EE5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4A36DF00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15 *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15EDD9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808,704 (808,704)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52786D" w14:textId="77777777" w:rsidR="00551BB5" w:rsidRPr="007E755C" w:rsidRDefault="00551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color w:val="auto"/>
                <w:sz w:val="22"/>
                <w:szCs w:val="22"/>
              </w:rPr>
              <w:t>7,056,072 (3,944,376)</w:t>
            </w:r>
          </w:p>
        </w:tc>
      </w:tr>
      <w:tr w:rsidR="00551BB5" w:rsidRPr="007E755C" w14:paraId="551291BA" w14:textId="77777777" w:rsidTr="0078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bottom w:val="nil"/>
            </w:tcBorders>
          </w:tcPr>
          <w:p w14:paraId="7F02A1D3" w14:textId="77777777" w:rsidR="00551BB5" w:rsidRPr="007E755C" w:rsidRDefault="00551BB5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23072AFE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6509182E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81,729,648 (11,675,664)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nil"/>
            </w:tcBorders>
            <w:vAlign w:val="bottom"/>
            <w:hideMark/>
          </w:tcPr>
          <w:p w14:paraId="28F1889C" w14:textId="77777777" w:rsidR="00551BB5" w:rsidRPr="007E755C" w:rsidRDefault="00551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55C">
              <w:rPr>
                <w:rFonts w:ascii="Arial" w:hAnsi="Arial" w:cs="Arial"/>
                <w:b/>
                <w:color w:val="auto"/>
                <w:sz w:val="22"/>
                <w:szCs w:val="22"/>
              </w:rPr>
              <w:t>365,799,058,560 (43,041,059,100)</w:t>
            </w:r>
          </w:p>
        </w:tc>
      </w:tr>
    </w:tbl>
    <w:p w14:paraId="446D6A3B" w14:textId="77777777" w:rsidR="003D512D" w:rsidRPr="007E755C" w:rsidRDefault="003D512D" w:rsidP="003D5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EBD15C" w14:textId="77777777" w:rsidR="00551BB5" w:rsidRPr="007E755C" w:rsidRDefault="00551BB5" w:rsidP="00551BB5">
      <w:pPr>
        <w:jc w:val="both"/>
        <w:rPr>
          <w:rFonts w:ascii="Arial" w:hAnsi="Arial" w:cs="Arial"/>
          <w:sz w:val="22"/>
          <w:szCs w:val="22"/>
        </w:rPr>
      </w:pPr>
      <w:r w:rsidRPr="007E755C">
        <w:rPr>
          <w:rFonts w:ascii="Arial" w:hAnsi="Arial" w:cs="Arial"/>
          <w:sz w:val="22"/>
          <w:szCs w:val="22"/>
        </w:rPr>
        <w:t xml:space="preserve">11% of the total unique internal segment sequences that are non-full-length were removed.   Counts from the all-length segment sequence analysis are given in parentheses for comparison.  </w:t>
      </w:r>
      <w:r w:rsidRPr="007E755C">
        <w:rPr>
          <w:rFonts w:ascii="Arial" w:hAnsi="Arial" w:cs="Arial"/>
          <w:b/>
          <w:sz w:val="22"/>
          <w:szCs w:val="22"/>
        </w:rPr>
        <w:t>(A)</w:t>
      </w:r>
      <w:r w:rsidRPr="007E755C">
        <w:rPr>
          <w:rFonts w:ascii="Arial" w:hAnsi="Arial" w:cs="Arial"/>
          <w:sz w:val="22"/>
          <w:szCs w:val="22"/>
        </w:rPr>
        <w:t xml:space="preserve"> Target sequences.  No target sequence can achieve 100% heterosubtypic co</w:t>
      </w:r>
      <w:bookmarkStart w:id="0" w:name="_GoBack"/>
      <w:bookmarkEnd w:id="0"/>
      <w:r w:rsidRPr="007E755C">
        <w:rPr>
          <w:rFonts w:ascii="Arial" w:hAnsi="Arial" w:cs="Arial"/>
          <w:sz w:val="22"/>
          <w:szCs w:val="22"/>
        </w:rPr>
        <w:t xml:space="preserve">verage in the all-genome analysis.  No single target sequence can achieve 100% heterosubtypic coverage in the full-length analysis.  * Except for one target sequence in segment 7 in the 3-S set, the target sequences in both 5-S and 3-S sets are identical in both full- and all-length analyses.  </w:t>
      </w:r>
      <w:r w:rsidRPr="007E755C">
        <w:rPr>
          <w:rFonts w:ascii="Arial" w:hAnsi="Arial" w:cs="Arial"/>
          <w:b/>
          <w:sz w:val="22"/>
          <w:szCs w:val="22"/>
        </w:rPr>
        <w:t>(B)</w:t>
      </w:r>
      <w:r w:rsidRPr="007E755C">
        <w:rPr>
          <w:rFonts w:ascii="Arial" w:hAnsi="Arial" w:cs="Arial"/>
          <w:sz w:val="22"/>
          <w:szCs w:val="22"/>
        </w:rPr>
        <w:t xml:space="preserve"> Effective </w:t>
      </w:r>
      <w:r w:rsidRPr="007E755C">
        <w:rPr>
          <w:rFonts w:ascii="Arial" w:hAnsi="Arial" w:cs="Arial"/>
          <w:i/>
          <w:sz w:val="22"/>
          <w:szCs w:val="22"/>
        </w:rPr>
        <w:t>Duals</w:t>
      </w:r>
      <w:r w:rsidRPr="007E755C">
        <w:rPr>
          <w:rFonts w:ascii="Arial" w:hAnsi="Arial" w:cs="Arial"/>
          <w:sz w:val="22"/>
          <w:szCs w:val="22"/>
        </w:rPr>
        <w:t xml:space="preserve">.  * Except for five effective </w:t>
      </w:r>
      <w:r w:rsidRPr="007E755C">
        <w:rPr>
          <w:rFonts w:ascii="Arial" w:hAnsi="Arial" w:cs="Arial"/>
          <w:i/>
          <w:sz w:val="22"/>
          <w:szCs w:val="22"/>
        </w:rPr>
        <w:t>Duals</w:t>
      </w:r>
      <w:r w:rsidRPr="007E755C">
        <w:rPr>
          <w:rFonts w:ascii="Arial" w:hAnsi="Arial" w:cs="Arial"/>
          <w:sz w:val="22"/>
          <w:szCs w:val="22"/>
        </w:rPr>
        <w:t xml:space="preserve"> in segment 7 in the 3-S set, all effective </w:t>
      </w:r>
      <w:r w:rsidRPr="007E755C">
        <w:rPr>
          <w:rFonts w:ascii="Arial" w:hAnsi="Arial" w:cs="Arial"/>
          <w:i/>
          <w:sz w:val="22"/>
          <w:szCs w:val="22"/>
        </w:rPr>
        <w:t>Duals</w:t>
      </w:r>
      <w:r w:rsidRPr="007E755C">
        <w:rPr>
          <w:rFonts w:ascii="Arial" w:hAnsi="Arial" w:cs="Arial"/>
          <w:sz w:val="22"/>
          <w:szCs w:val="22"/>
        </w:rPr>
        <w:t xml:space="preserve"> from the all-length analysis are complete subset of those from the full-length analysis.  ** 21 effective </w:t>
      </w:r>
      <w:r w:rsidRPr="007E755C">
        <w:rPr>
          <w:rFonts w:ascii="Arial" w:hAnsi="Arial" w:cs="Arial"/>
          <w:i/>
          <w:sz w:val="22"/>
          <w:szCs w:val="22"/>
        </w:rPr>
        <w:t>Duals</w:t>
      </w:r>
      <w:r w:rsidRPr="007E755C">
        <w:rPr>
          <w:rFonts w:ascii="Arial" w:hAnsi="Arial" w:cs="Arial"/>
          <w:sz w:val="22"/>
          <w:szCs w:val="22"/>
        </w:rPr>
        <w:t xml:space="preserve"> in segment 5 were obtained in the full-length analysis whereas there was none in the all-length analysis.  </w:t>
      </w:r>
      <w:r w:rsidRPr="007E755C">
        <w:rPr>
          <w:rFonts w:ascii="Arial" w:hAnsi="Arial" w:cs="Arial"/>
          <w:b/>
          <w:sz w:val="22"/>
          <w:szCs w:val="22"/>
        </w:rPr>
        <w:t>(C)</w:t>
      </w:r>
      <w:r w:rsidRPr="007E755C">
        <w:rPr>
          <w:rFonts w:ascii="Arial" w:hAnsi="Arial" w:cs="Arial"/>
          <w:sz w:val="22"/>
          <w:szCs w:val="22"/>
        </w:rPr>
        <w:t xml:space="preserve"> Effective </w:t>
      </w:r>
      <w:r w:rsidRPr="007E755C">
        <w:rPr>
          <w:rFonts w:ascii="Arial" w:hAnsi="Arial" w:cs="Arial"/>
          <w:i/>
          <w:sz w:val="22"/>
          <w:szCs w:val="22"/>
        </w:rPr>
        <w:t>Doubles</w:t>
      </w:r>
      <w:r w:rsidRPr="007E755C">
        <w:rPr>
          <w:rFonts w:ascii="Arial" w:hAnsi="Arial" w:cs="Arial"/>
          <w:sz w:val="22"/>
          <w:szCs w:val="22"/>
        </w:rPr>
        <w:t xml:space="preserve">.  * Except for six S1-S7, 45 S5-S7, and three S7-S8 effective </w:t>
      </w:r>
      <w:r w:rsidRPr="007E755C">
        <w:rPr>
          <w:rFonts w:ascii="Arial" w:hAnsi="Arial" w:cs="Arial"/>
          <w:i/>
          <w:sz w:val="22"/>
          <w:szCs w:val="22"/>
        </w:rPr>
        <w:t>Doubles</w:t>
      </w:r>
      <w:r w:rsidRPr="007E755C">
        <w:rPr>
          <w:rFonts w:ascii="Arial" w:hAnsi="Arial" w:cs="Arial"/>
          <w:sz w:val="22"/>
          <w:szCs w:val="22"/>
        </w:rPr>
        <w:t xml:space="preserve"> in the 3-S set, all effective </w:t>
      </w:r>
      <w:r w:rsidRPr="007E755C">
        <w:rPr>
          <w:rFonts w:ascii="Arial" w:hAnsi="Arial" w:cs="Arial"/>
          <w:i/>
          <w:sz w:val="22"/>
          <w:szCs w:val="22"/>
        </w:rPr>
        <w:t>Doubles</w:t>
      </w:r>
      <w:r w:rsidRPr="007E755C">
        <w:rPr>
          <w:rFonts w:ascii="Arial" w:hAnsi="Arial" w:cs="Arial"/>
          <w:sz w:val="22"/>
          <w:szCs w:val="22"/>
        </w:rPr>
        <w:t xml:space="preserve"> from the all-length analysis are complete subset of those from the full-length analysis.  </w:t>
      </w:r>
      <w:r w:rsidRPr="007E755C">
        <w:rPr>
          <w:rFonts w:ascii="Arial" w:hAnsi="Arial" w:cs="Arial"/>
          <w:b/>
          <w:sz w:val="22"/>
          <w:szCs w:val="22"/>
        </w:rPr>
        <w:t>(D)</w:t>
      </w:r>
      <w:r w:rsidRPr="007E755C">
        <w:rPr>
          <w:rFonts w:ascii="Arial" w:hAnsi="Arial" w:cs="Arial"/>
          <w:sz w:val="22"/>
          <w:szCs w:val="22"/>
        </w:rPr>
        <w:t xml:space="preserve"> Size distribution of all 6-vertices segment partner graphs formed by a target sequence (whose </w:t>
      </w:r>
      <w:r w:rsidRPr="007E755C">
        <w:rPr>
          <w:rFonts w:ascii="Arial" w:hAnsi="Arial" w:cs="Arial"/>
          <w:i/>
          <w:sz w:val="22"/>
          <w:szCs w:val="22"/>
        </w:rPr>
        <w:t>NSP = 5</w:t>
      </w:r>
      <w:r w:rsidRPr="007E755C">
        <w:rPr>
          <w:rFonts w:ascii="Arial" w:hAnsi="Arial" w:cs="Arial"/>
          <w:sz w:val="22"/>
          <w:szCs w:val="22"/>
        </w:rPr>
        <w:t>) from each of the six internal segments (Fig</w:t>
      </w:r>
      <w:r>
        <w:rPr>
          <w:rFonts w:ascii="Arial" w:hAnsi="Arial" w:cs="Arial"/>
          <w:sz w:val="22"/>
          <w:szCs w:val="22"/>
        </w:rPr>
        <w:t>.</w:t>
      </w:r>
      <w:r w:rsidRPr="007E755C">
        <w:rPr>
          <w:rFonts w:ascii="Arial" w:hAnsi="Arial" w:cs="Arial"/>
          <w:sz w:val="22"/>
          <w:szCs w:val="22"/>
        </w:rPr>
        <w:t xml:space="preserve"> 3C and </w:t>
      </w:r>
      <w:r>
        <w:rPr>
          <w:rFonts w:ascii="Arial" w:hAnsi="Arial" w:cs="Arial"/>
          <w:sz w:val="22"/>
          <w:szCs w:val="22"/>
        </w:rPr>
        <w:t xml:space="preserve">Fig. </w:t>
      </w:r>
      <w:r w:rsidRPr="007E755C">
        <w:rPr>
          <w:rFonts w:ascii="Arial" w:hAnsi="Arial" w:cs="Arial"/>
          <w:sz w:val="22"/>
          <w:szCs w:val="22"/>
        </w:rPr>
        <w:t>S9B).  *Complete graphs of size 15.</w:t>
      </w:r>
    </w:p>
    <w:p w14:paraId="34913539" w14:textId="77777777" w:rsidR="00FB6DF0" w:rsidRPr="007E755C" w:rsidRDefault="00FB6DF0"/>
    <w:sectPr w:rsidR="00FB6DF0" w:rsidRPr="007E7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D"/>
    <w:rsid w:val="003D512D"/>
    <w:rsid w:val="003E72E1"/>
    <w:rsid w:val="00551BB5"/>
    <w:rsid w:val="007E755C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13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2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D51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2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D51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2782</Characters>
  <Application>Microsoft Macintosh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Wee</cp:lastModifiedBy>
  <cp:revision>4</cp:revision>
  <dcterms:created xsi:type="dcterms:W3CDTF">2015-06-05T02:54:00Z</dcterms:created>
  <dcterms:modified xsi:type="dcterms:W3CDTF">2015-11-25T09:36:00Z</dcterms:modified>
</cp:coreProperties>
</file>