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F1950" w14:textId="77777777" w:rsidR="00E449D7" w:rsidRPr="00FD43B4" w:rsidRDefault="00E449D7" w:rsidP="00E449D7">
      <w:pPr>
        <w:rPr>
          <w:rFonts w:cs="Arial"/>
          <w:b/>
          <w:sz w:val="22"/>
          <w:szCs w:val="22"/>
        </w:rPr>
      </w:pPr>
      <w:r w:rsidRPr="00FD43B4">
        <w:rPr>
          <w:rFonts w:cs="Arial"/>
          <w:b/>
          <w:sz w:val="22"/>
          <w:szCs w:val="22"/>
        </w:rPr>
        <w:t>L4 Data Analysis</w:t>
      </w:r>
      <w:r>
        <w:rPr>
          <w:rFonts w:cs="Arial"/>
          <w:b/>
          <w:sz w:val="22"/>
          <w:szCs w:val="22"/>
        </w:rPr>
        <w:t xml:space="preserve"> Supplemental Methods</w:t>
      </w:r>
    </w:p>
    <w:p w14:paraId="7EAAE874" w14:textId="77777777" w:rsidR="00E449D7" w:rsidRPr="00FD43B4" w:rsidRDefault="00E449D7" w:rsidP="00E449D7">
      <w:pPr>
        <w:rPr>
          <w:rFonts w:cs="Arial"/>
          <w:b/>
          <w:sz w:val="22"/>
          <w:szCs w:val="22"/>
        </w:rPr>
      </w:pPr>
    </w:p>
    <w:p w14:paraId="7DA49489" w14:textId="77777777" w:rsidR="00E449D7" w:rsidRPr="00FD43B4" w:rsidRDefault="00E449D7" w:rsidP="00E449D7">
      <w:pPr>
        <w:rPr>
          <w:rFonts w:cs="Arial"/>
          <w:color w:val="000000"/>
          <w:sz w:val="22"/>
          <w:szCs w:val="22"/>
        </w:rPr>
      </w:pPr>
      <w:r w:rsidRPr="00FD43B4">
        <w:rPr>
          <w:rFonts w:cs="Arial"/>
          <w:color w:val="000000"/>
          <w:sz w:val="22"/>
          <w:szCs w:val="22"/>
        </w:rPr>
        <w:t xml:space="preserve">L4 shotgun sequencing datasets of DNA for </w:t>
      </w:r>
      <w:r>
        <w:rPr>
          <w:rFonts w:cs="Arial"/>
          <w:color w:val="000000"/>
          <w:sz w:val="22"/>
          <w:szCs w:val="22"/>
        </w:rPr>
        <w:t>eight</w:t>
      </w:r>
      <w:r w:rsidRPr="00FD43B4">
        <w:rPr>
          <w:rFonts w:cs="Arial"/>
          <w:color w:val="000000"/>
          <w:sz w:val="22"/>
          <w:szCs w:val="22"/>
        </w:rPr>
        <w:t xml:space="preserve"> samples and mRNA for </w:t>
      </w:r>
      <w:r>
        <w:rPr>
          <w:rFonts w:cs="Arial"/>
          <w:color w:val="000000"/>
          <w:sz w:val="22"/>
          <w:szCs w:val="22"/>
        </w:rPr>
        <w:t>seven</w:t>
      </w:r>
      <w:r w:rsidRPr="00FD43B4">
        <w:rPr>
          <w:rFonts w:cs="Arial"/>
          <w:color w:val="000000"/>
          <w:sz w:val="22"/>
          <w:szCs w:val="22"/>
        </w:rPr>
        <w:t xml:space="preserve"> samples were downloaded from the MG-RAST website (</w:t>
      </w:r>
      <w:hyperlink r:id="rId5" w:history="1">
        <w:r w:rsidRPr="00FD43B4">
          <w:rPr>
            <w:rFonts w:cs="Arial"/>
            <w:color w:val="000000"/>
            <w:sz w:val="22"/>
            <w:szCs w:val="22"/>
            <w:u w:val="single"/>
          </w:rPr>
          <w:t>http://metagenomics.anl.gov/metagenomics.cgi?page=MetagenomeProject&amp;project=109</w:t>
        </w:r>
      </w:hyperlink>
      <w:r w:rsidRPr="00FD43B4">
        <w:rPr>
          <w:rFonts w:cs="Arial"/>
          <w:color w:val="000000"/>
          <w:sz w:val="22"/>
          <w:szCs w:val="22"/>
        </w:rPr>
        <w:t>). The pre-filtered datasets ranged from 267,833 to 631,084 reads for the DNA samples and 47,406 to 80,615 reads for the RNA samples. Datasets were pre-filtered for quality and to remove rRNA sequences from the metatranscriptomic datasets. We used Shot</w:t>
      </w:r>
      <w:r>
        <w:rPr>
          <w:rFonts w:cs="Arial"/>
          <w:color w:val="000000"/>
          <w:sz w:val="22"/>
          <w:szCs w:val="22"/>
        </w:rPr>
        <w:t>MAP</w:t>
      </w:r>
      <w:r w:rsidRPr="00FD43B4">
        <w:rPr>
          <w:rFonts w:cs="Arial"/>
          <w:color w:val="000000"/>
          <w:sz w:val="22"/>
          <w:szCs w:val="22"/>
        </w:rPr>
        <w:t xml:space="preserve"> to functionally annotate the datasets using three databases: the </w:t>
      </w:r>
      <w:r>
        <w:rPr>
          <w:rFonts w:cs="Arial"/>
          <w:color w:val="000000"/>
          <w:sz w:val="22"/>
          <w:szCs w:val="22"/>
        </w:rPr>
        <w:t>FIGfams</w:t>
      </w:r>
      <w:r w:rsidRPr="00FD43B4">
        <w:rPr>
          <w:rFonts w:cs="Arial"/>
          <w:color w:val="000000"/>
          <w:sz w:val="22"/>
          <w:szCs w:val="22"/>
        </w:rPr>
        <w:t xml:space="preserve"> database from the Fellowship for the Interpretation of Genomes (Release 12, 2009. http://www.nmpdr.org/FIG/wiki/view.cgi/FIG/FigFam) that Gilbert et al. used, as well as the KEGG Orthology (KO</w:t>
      </w:r>
      <w:r>
        <w:rPr>
          <w:rFonts w:cs="Arial"/>
          <w:color w:val="000000"/>
          <w:sz w:val="22"/>
          <w:szCs w:val="22"/>
        </w:rPr>
        <w:t>, downloaded June 25, 2013</w:t>
      </w:r>
      <w:r w:rsidRPr="00FD43B4">
        <w:rPr>
          <w:rFonts w:cs="Arial"/>
          <w:color w:val="000000"/>
          <w:sz w:val="22"/>
          <w:szCs w:val="22"/>
        </w:rPr>
        <w:t>) and the Sifting Families (SFams</w:t>
      </w:r>
      <w:r>
        <w:rPr>
          <w:rFonts w:cs="Arial"/>
          <w:color w:val="000000"/>
          <w:sz w:val="22"/>
          <w:szCs w:val="22"/>
        </w:rPr>
        <w:t xml:space="preserve"> v 1.0</w:t>
      </w:r>
      <w:r w:rsidRPr="00FD43B4">
        <w:rPr>
          <w:rFonts w:cs="Arial"/>
          <w:color w:val="000000"/>
          <w:sz w:val="22"/>
          <w:szCs w:val="22"/>
        </w:rPr>
        <w:t>)</w:t>
      </w:r>
      <w:r>
        <w:rPr>
          <w:rFonts w:cs="Arial"/>
          <w:color w:val="000000"/>
          <w:sz w:val="22"/>
          <w:szCs w:val="22"/>
        </w:rPr>
        <w:t xml:space="preserve"> databases</w:t>
      </w:r>
      <w:r w:rsidRPr="00FD43B4">
        <w:rPr>
          <w:rFonts w:cs="Arial"/>
          <w:color w:val="000000"/>
          <w:sz w:val="22"/>
          <w:szCs w:val="22"/>
        </w:rPr>
        <w:t xml:space="preserve">.  The </w:t>
      </w:r>
      <w:r>
        <w:rPr>
          <w:rFonts w:cs="Arial"/>
          <w:color w:val="000000"/>
          <w:sz w:val="22"/>
          <w:szCs w:val="22"/>
        </w:rPr>
        <w:t>FIGfam</w:t>
      </w:r>
      <w:r w:rsidRPr="00FD43B4">
        <w:rPr>
          <w:rFonts w:cs="Arial"/>
          <w:color w:val="000000"/>
          <w:sz w:val="22"/>
          <w:szCs w:val="22"/>
        </w:rPr>
        <w:t xml:space="preserve"> database consists of 1,422,349 proteins comprising 213,098 families</w:t>
      </w:r>
      <w:r>
        <w:rPr>
          <w:rFonts w:cs="Arial"/>
          <w:color w:val="000000"/>
          <w:sz w:val="22"/>
          <w:szCs w:val="22"/>
        </w:rPr>
        <w:t>, the KOs are comprised</w:t>
      </w:r>
      <w:r w:rsidRPr="00FD43B4">
        <w:rPr>
          <w:rFonts w:cs="Arial"/>
          <w:color w:val="000000"/>
          <w:sz w:val="22"/>
          <w:szCs w:val="22"/>
        </w:rPr>
        <w:t xml:space="preserve"> of 4,078,985 proteins </w:t>
      </w:r>
      <w:r>
        <w:rPr>
          <w:rFonts w:cs="Arial"/>
          <w:color w:val="000000"/>
          <w:sz w:val="22"/>
          <w:szCs w:val="22"/>
        </w:rPr>
        <w:t>across</w:t>
      </w:r>
      <w:r w:rsidRPr="00FD43B4">
        <w:rPr>
          <w:rFonts w:cs="Arial"/>
          <w:color w:val="000000"/>
          <w:sz w:val="22"/>
          <w:szCs w:val="22"/>
        </w:rPr>
        <w:t xml:space="preserve"> 18,416 families</w:t>
      </w:r>
      <w:r>
        <w:rPr>
          <w:rFonts w:cs="Arial"/>
          <w:color w:val="000000"/>
          <w:sz w:val="22"/>
          <w:szCs w:val="22"/>
        </w:rPr>
        <w:t>,</w:t>
      </w:r>
      <w:r w:rsidRPr="00FD43B4">
        <w:rPr>
          <w:rFonts w:cs="Arial"/>
          <w:color w:val="000000"/>
          <w:sz w:val="22"/>
          <w:szCs w:val="22"/>
        </w:rPr>
        <w:t xml:space="preserve"> and SFams </w:t>
      </w:r>
      <w:r>
        <w:rPr>
          <w:rFonts w:cs="Arial"/>
          <w:color w:val="000000"/>
          <w:sz w:val="22"/>
          <w:szCs w:val="22"/>
        </w:rPr>
        <w:t xml:space="preserve">have </w:t>
      </w:r>
      <w:r w:rsidRPr="00FD43B4">
        <w:rPr>
          <w:rFonts w:cs="Arial"/>
          <w:color w:val="000000"/>
          <w:sz w:val="22"/>
          <w:szCs w:val="22"/>
        </w:rPr>
        <w:t>6,098,117 protein</w:t>
      </w:r>
      <w:r>
        <w:rPr>
          <w:rFonts w:cs="Arial"/>
          <w:color w:val="000000"/>
          <w:sz w:val="22"/>
          <w:szCs w:val="22"/>
        </w:rPr>
        <w:t xml:space="preserve">s distributed in 345,641 families. </w:t>
      </w:r>
      <w:r w:rsidRPr="00FD43B4">
        <w:rPr>
          <w:rFonts w:cs="Arial"/>
          <w:color w:val="000000"/>
          <w:sz w:val="22"/>
          <w:szCs w:val="22"/>
        </w:rPr>
        <w:t>To facilitate comparisons across</w:t>
      </w:r>
      <w:r>
        <w:rPr>
          <w:rFonts w:cs="Arial"/>
          <w:color w:val="000000"/>
          <w:sz w:val="22"/>
          <w:szCs w:val="22"/>
        </w:rPr>
        <w:t xml:space="preserve"> samples, the eight metagenomic</w:t>
      </w:r>
      <w:r w:rsidRPr="00FD43B4">
        <w:rPr>
          <w:rFonts w:cs="Arial"/>
          <w:color w:val="000000"/>
          <w:sz w:val="22"/>
          <w:szCs w:val="22"/>
        </w:rPr>
        <w:t xml:space="preserve"> datasets were rarefied to 267,833 reads (the size of the smallest metagenomic dataset) and the seven metatranscriptomic datasets were rarefied to 47,406 reads (the size of the smallest metatranscriptomic dataset). Reads were translated in all </w:t>
      </w:r>
      <w:r>
        <w:rPr>
          <w:rFonts w:cs="Arial"/>
          <w:color w:val="000000"/>
          <w:sz w:val="22"/>
          <w:szCs w:val="22"/>
        </w:rPr>
        <w:t>six</w:t>
      </w:r>
      <w:r w:rsidRPr="00FD43B4">
        <w:rPr>
          <w:rFonts w:cs="Arial"/>
          <w:color w:val="000000"/>
          <w:sz w:val="22"/>
          <w:szCs w:val="22"/>
        </w:rPr>
        <w:t xml:space="preserve"> reading frames and split on stop codons, and then ORF’s having a length of at least 15 amino acids and a RAPSearch bit score of at least 35 were classified in each of the three databases according to their best</w:t>
      </w:r>
      <w:r>
        <w:rPr>
          <w:rFonts w:cs="Arial"/>
          <w:color w:val="000000"/>
          <w:sz w:val="22"/>
          <w:szCs w:val="22"/>
        </w:rPr>
        <w:t xml:space="preserve"> protein sequence</w:t>
      </w:r>
      <w:r w:rsidRPr="00FD43B4">
        <w:rPr>
          <w:rFonts w:cs="Arial"/>
          <w:color w:val="000000"/>
          <w:sz w:val="22"/>
          <w:szCs w:val="22"/>
        </w:rPr>
        <w:t xml:space="preserve"> hit</w:t>
      </w:r>
      <w:r>
        <w:rPr>
          <w:rFonts w:cs="Arial"/>
          <w:color w:val="000000"/>
          <w:sz w:val="22"/>
          <w:szCs w:val="22"/>
        </w:rPr>
        <w:t xml:space="preserve"> within each database</w:t>
      </w:r>
      <w:r w:rsidRPr="00FD43B4">
        <w:rPr>
          <w:rFonts w:cs="Arial"/>
          <w:color w:val="000000"/>
          <w:sz w:val="22"/>
          <w:szCs w:val="22"/>
        </w:rPr>
        <w:t xml:space="preserve">.  Family abundance was then calculated as the number of residues </w:t>
      </w:r>
      <w:r>
        <w:rPr>
          <w:rFonts w:cs="Arial"/>
          <w:color w:val="000000"/>
          <w:sz w:val="22"/>
          <w:szCs w:val="22"/>
        </w:rPr>
        <w:t xml:space="preserve">of the translated metagenomic read </w:t>
      </w:r>
      <w:r w:rsidRPr="00FD43B4">
        <w:rPr>
          <w:rFonts w:cs="Arial"/>
          <w:color w:val="000000"/>
          <w:sz w:val="22"/>
          <w:szCs w:val="22"/>
        </w:rPr>
        <w:t xml:space="preserve">that align to the </w:t>
      </w:r>
      <w:r>
        <w:rPr>
          <w:rFonts w:cs="Arial"/>
          <w:color w:val="000000"/>
          <w:sz w:val="22"/>
          <w:szCs w:val="22"/>
        </w:rPr>
        <w:t xml:space="preserve">target protein from the family </w:t>
      </w:r>
      <w:r w:rsidRPr="00FD43B4">
        <w:rPr>
          <w:rFonts w:cs="Arial"/>
          <w:color w:val="000000"/>
          <w:sz w:val="22"/>
          <w:szCs w:val="22"/>
        </w:rPr>
        <w:t xml:space="preserve">normalized by the length of the </w:t>
      </w:r>
      <w:r>
        <w:rPr>
          <w:rFonts w:cs="Arial"/>
          <w:color w:val="000000"/>
          <w:sz w:val="22"/>
          <w:szCs w:val="22"/>
        </w:rPr>
        <w:t>average</w:t>
      </w:r>
      <w:r w:rsidRPr="00FD43B4">
        <w:rPr>
          <w:rFonts w:cs="Arial"/>
          <w:color w:val="000000"/>
          <w:sz w:val="22"/>
          <w:szCs w:val="22"/>
        </w:rPr>
        <w:t xml:space="preserve"> family member. Raw abundances for the metagenomic datasets were then corrected for average genome size using MicrobeCensu</w:t>
      </w:r>
      <w:r>
        <w:rPr>
          <w:rFonts w:cs="Arial"/>
          <w:color w:val="000000"/>
          <w:sz w:val="22"/>
          <w:szCs w:val="22"/>
        </w:rPr>
        <w:t>s</w:t>
      </w:r>
      <w:r w:rsidRPr="00FD43B4">
        <w:rPr>
          <w:rFonts w:cs="Arial"/>
          <w:color w:val="000000"/>
          <w:sz w:val="22"/>
          <w:szCs w:val="22"/>
        </w:rPr>
        <w:t>. For each database, we calculated physiological richness (the number of families observed in a sample), Good’s coverage (1 – the number of families with a single hit/number of classified reads for a sample), Shannon entropy, and the overall classification rate for the 15 samples with respect to each of the three functional protein family databases (</w:t>
      </w:r>
      <w:r>
        <w:rPr>
          <w:rFonts w:cs="Arial"/>
          <w:color w:val="000000"/>
          <w:sz w:val="22"/>
          <w:szCs w:val="22"/>
        </w:rPr>
        <w:t>Supplemental Figure 7</w:t>
      </w:r>
      <w:r w:rsidRPr="00FD43B4">
        <w:rPr>
          <w:rFonts w:cs="Arial"/>
          <w:color w:val="000000"/>
          <w:sz w:val="22"/>
          <w:szCs w:val="22"/>
        </w:rPr>
        <w:t xml:space="preserve"> A, B, </w:t>
      </w:r>
      <w:r>
        <w:rPr>
          <w:rFonts w:cs="Arial"/>
          <w:color w:val="000000"/>
          <w:sz w:val="22"/>
          <w:szCs w:val="22"/>
        </w:rPr>
        <w:t xml:space="preserve">and </w:t>
      </w:r>
      <w:r w:rsidRPr="00FD43B4">
        <w:rPr>
          <w:rFonts w:cs="Arial"/>
          <w:color w:val="000000"/>
          <w:sz w:val="22"/>
          <w:szCs w:val="22"/>
        </w:rPr>
        <w:t>C).  </w:t>
      </w:r>
    </w:p>
    <w:p w14:paraId="2DE34947" w14:textId="77777777" w:rsidR="00DA5F9D" w:rsidRDefault="00DA5F9D"/>
    <w:p w14:paraId="037EE5DD" w14:textId="77777777" w:rsidR="009D38CE" w:rsidRPr="009E5E60" w:rsidRDefault="009D38CE" w:rsidP="009D38CE">
      <w:pPr>
        <w:rPr>
          <w:rFonts w:ascii="Cambria" w:hAnsi="Cambria" w:cs="Arial"/>
          <w:b/>
          <w:sz w:val="22"/>
          <w:szCs w:val="22"/>
        </w:rPr>
      </w:pPr>
      <w:r w:rsidRPr="009E5E60">
        <w:rPr>
          <w:rFonts w:ascii="Cambria" w:hAnsi="Cambria" w:cs="Arial"/>
          <w:b/>
          <w:sz w:val="22"/>
          <w:szCs w:val="22"/>
        </w:rPr>
        <w:t>Challenges associated with the analysis of low-abundance gene families</w:t>
      </w:r>
    </w:p>
    <w:p w14:paraId="3645042F" w14:textId="77777777" w:rsidR="009D38CE" w:rsidRPr="009E5E60" w:rsidRDefault="009D38CE" w:rsidP="009D38CE">
      <w:pPr>
        <w:rPr>
          <w:rFonts w:ascii="Cambria" w:hAnsi="Cambria" w:cs="Arial"/>
          <w:b/>
          <w:sz w:val="22"/>
          <w:szCs w:val="22"/>
        </w:rPr>
      </w:pPr>
    </w:p>
    <w:p w14:paraId="10BE620F" w14:textId="39FF3C7F" w:rsidR="009D38CE" w:rsidRPr="009E5E60" w:rsidRDefault="009D38CE" w:rsidP="009D38CE">
      <w:pPr>
        <w:rPr>
          <w:rFonts w:ascii="Cambria" w:hAnsi="Cambria" w:cs="Arial"/>
          <w:color w:val="000000"/>
          <w:sz w:val="22"/>
          <w:szCs w:val="22"/>
        </w:rPr>
      </w:pPr>
      <w:r w:rsidRPr="009E5E60">
        <w:rPr>
          <w:rFonts w:ascii="Cambria" w:hAnsi="Cambria" w:cs="Arial"/>
          <w:color w:val="000000"/>
          <w:sz w:val="22"/>
          <w:szCs w:val="22"/>
        </w:rPr>
        <w:t>We observed several noteworthy results regarding low-abundance gene families in the L4 data. First, most of the observed gene families in the L4 metagenomes and metatranscriptomes have a low absolute abundance (e.g., only 6% of families had over 100 reads in KEGG and only 1% with FIGfams). This long-tailed skew in the gene family rank-abundance distribution is common in the analysis of metagenomes and indicates that, for most families, differences across samples will be highly subject to stochastic effects. As a result, caution is warranted when interpreting seasonal or diel trends for individual families or potentially even pathways. Second, the proportion of reads classified into gene families varies substantially between samples (</w:t>
      </w:r>
      <w:r w:rsidR="00FD7BCA">
        <w:rPr>
          <w:rFonts w:ascii="Cambria" w:hAnsi="Cambria" w:cs="Arial"/>
          <w:color w:val="000000"/>
          <w:sz w:val="22"/>
          <w:szCs w:val="22"/>
        </w:rPr>
        <w:t>S12 Figure</w:t>
      </w:r>
      <w:bookmarkStart w:id="0" w:name="_GoBack"/>
      <w:bookmarkEnd w:id="0"/>
      <w:r w:rsidRPr="009E5E60">
        <w:rPr>
          <w:rFonts w:ascii="Cambria" w:hAnsi="Cambria" w:cs="Arial"/>
          <w:color w:val="000000"/>
          <w:sz w:val="22"/>
          <w:szCs w:val="22"/>
        </w:rPr>
        <w:t xml:space="preserve">). Care should thus be taken when assessing a family’s inter-sample relative abundance distribution, since this measurement is highly dependent on classification rate: low classification rates artificially inflate relative abundance estimates for observed gene families. We believe this issue explains why we find lower functional diversity in January day metagenomes than was originally reported with the data; this sample has the lowest classification rate of all metagenomes. Finally, gene families supported by a single read also play an important role at the level of community diversity. For example, we observed higher richness in January day compared to January night metatranscriptomes with all three databases, but much of this was due to families consisting of a single read. Based on our simulations, we hypothesize that this diversity </w:t>
      </w:r>
      <w:r w:rsidRPr="009E5E60">
        <w:rPr>
          <w:rFonts w:ascii="Cambria" w:hAnsi="Cambria" w:cs="Arial"/>
          <w:color w:val="000000"/>
          <w:sz w:val="22"/>
          <w:szCs w:val="22"/>
        </w:rPr>
        <w:lastRenderedPageBreak/>
        <w:t xml:space="preserve">caused by the large number of low abundance families in daytime samples is largely real (i.e., low predicted error rates), despite conflicting with previous studies that found elevated richness in night-time samples (e.g., </w:t>
      </w:r>
      <w:r w:rsidRPr="009E5E60">
        <w:rPr>
          <w:rFonts w:ascii="Cambria" w:hAnsi="Cambria" w:cs="Arial"/>
          <w:color w:val="000000"/>
          <w:sz w:val="22"/>
          <w:szCs w:val="22"/>
        </w:rPr>
        <w:fldChar w:fldCharType="begin" w:fldLock="1"/>
      </w:r>
      <w:r w:rsidRPr="009E5E60">
        <w:rPr>
          <w:rFonts w:ascii="Cambria" w:hAnsi="Cambria" w:cs="Arial"/>
          <w:color w:val="000000"/>
          <w:sz w:val="22"/>
          <w:szCs w:val="22"/>
        </w:rPr>
        <w:instrText>ADDIN CSL_CITATION { "citationItems" : [ { "id" : "ITEM-1", "itemData" : { "DOI" : "10.1111/j.1462-2920.2008.01863.x", "ISSN" : "1462-2920", "PMID" : "19207571", "abstract" : "Metatranscriptomic analyses of microbial assemblages (&lt; 5 microm) from surface water at the Hawaiian Ocean Time-Series (HOT) revealed community-wide metabolic activities and day/night patterns of differential gene expression. Pyrosequencing produced 75 558 putative mRNA reads from a day transcriptome and 75 946 from a night transcriptome. Taxonomic binning of annotated mRNAs indicated that Cyanobacteria contributed a greater percentage of the transcripts (54% of annotated sequences) than expected based on abundance (35% of cell counts and 21% 16S rRNA of libraries), and may represent the most actively transcribing cells in this surface ocean community in both the day and night. Major heterotrophic taxa contributing to the community transcriptome included alpha-Proteobacteria (19% of annotated sequences, most of which were SAR11-related) and gamma-Proteobacteria (4%). The composition of transcript pools was consistent with models of prokaryotic gene expression, including operon-based transcription patterns and an abundance of genes predicted to be highly expressed. Metabolic activities that are shared by many microbial taxa (e.g. glycolysis, citric acid cycle, amino acid biosynthesis and transcription and translation machinery) were well represented among the community transcripts. There was an overabundance of transcripts for photosynthesis, C1 metabolism and oxidative phosphorylation in the day compared with night, and evidence that energy acquisition is coordinated with solar radiation levels for both autotrophic and heterotrophic microbes. In contrast, housekeeping activities such as amino acid biosynthesis, membrane synthesis and repair, and vitamin biosynthesis were overrepresented in the night transcriptome. Direct sequencing of these environmental transcripts has provided detailed information on metabolic and biogeochemical responses of a microbial community to solar forcing.", "author" : [ { "dropping-particle" : "", "family" : "Poretsky", "given" : "Rachel S", "non-dropping-particle" : "", "parse-names" : false, "suffix" : "" }, { "dropping-particle" : "", "family" : "Hewson", "given" : "Ian", "non-dropping-particle" : "", "parse-names" : false, "suffix" : "" }, { "dropping-particle" : "", "family" : "Sun", "given" : "Shulei", "non-dropping-particle" : "", "parse-names" : false, "suffix" : "" }, { "dropping-particle" : "", "family" : "Allen", "given" : "Andrew E", "non-dropping-particle" : "", "parse-names" : false, "suffix" : "" }, { "dropping-particle" : "", "family" : "Zehr", "given" : "Jonathan P", "non-dropping-particle" : "", "parse-names" : false, "suffix" : "" }, { "dropping-particle" : "", "family" : "Moran", "given" : "Mary Ann", "non-dropping-particle" : "", "parse-names" : false, "suffix" : "" } ], "container-title" : "Environmental microbiology", "id" : "ITEM-1", "issue" : "6", "issued" : { "date-parts" : [ [ "2009", "6" ] ] }, "page" : "1358-75", "title" : "Comparative day/night metatranscriptomic analysis of microbial communities in the North Pacific subtropical gyre.", "type" : "article-journal", "volume" : "11" }, "uris" : [ "http://www.mendeley.com/documents/?uuid=7022419d-04d3-438b-a7d8-8617c1e2730d" ] } ], "mendeley" : { "formattedCitation" : "(1)", "plainTextFormattedCitation" : "(1)", "previouslyFormattedCitation" : "(1)" }, "properties" : { "noteIndex" : 0 }, "schema" : "https://github.com/citation-style-language/schema/raw/master/csl-citation.json" }</w:instrText>
      </w:r>
      <w:r w:rsidRPr="009E5E60">
        <w:rPr>
          <w:rFonts w:ascii="Cambria" w:hAnsi="Cambria" w:cs="Arial"/>
          <w:color w:val="000000"/>
          <w:sz w:val="22"/>
          <w:szCs w:val="22"/>
        </w:rPr>
        <w:fldChar w:fldCharType="separate"/>
      </w:r>
      <w:r w:rsidRPr="009E5E60">
        <w:rPr>
          <w:rFonts w:ascii="Cambria" w:hAnsi="Cambria" w:cs="Arial"/>
          <w:noProof/>
          <w:color w:val="000000"/>
          <w:sz w:val="22"/>
          <w:szCs w:val="22"/>
        </w:rPr>
        <w:t>(1)</w:t>
      </w:r>
      <w:r w:rsidRPr="009E5E60">
        <w:rPr>
          <w:rFonts w:ascii="Cambria" w:hAnsi="Cambria" w:cs="Arial"/>
          <w:color w:val="000000"/>
          <w:sz w:val="22"/>
          <w:szCs w:val="22"/>
        </w:rPr>
        <w:fldChar w:fldCharType="end"/>
      </w:r>
      <w:r w:rsidRPr="009E5E60">
        <w:rPr>
          <w:rFonts w:ascii="Cambria" w:hAnsi="Cambria" w:cs="Arial"/>
          <w:color w:val="000000"/>
          <w:sz w:val="22"/>
          <w:szCs w:val="22"/>
        </w:rPr>
        <w:t>,</w:t>
      </w:r>
      <w:r w:rsidRPr="009E5E60">
        <w:rPr>
          <w:rFonts w:ascii="Cambria" w:hAnsi="Cambria" w:cs="Arial"/>
          <w:color w:val="000000"/>
          <w:sz w:val="22"/>
          <w:szCs w:val="22"/>
        </w:rPr>
        <w:fldChar w:fldCharType="begin" w:fldLock="1"/>
      </w:r>
      <w:r w:rsidRPr="009E5E60">
        <w:rPr>
          <w:rFonts w:ascii="Cambria" w:hAnsi="Cambria" w:cs="Arial"/>
          <w:color w:val="000000"/>
          <w:sz w:val="22"/>
          <w:szCs w:val="22"/>
        </w:rPr>
        <w:instrText>ADDIN CSL_CITATION { "citationItems" : [ { "id" : "ITEM-1", "itemData" : { "DOI" : "10.1038/ismej.2011.107", "ISSN" : "1751-7370", "PMID" : "21850055", "abstract" : "Here we describe, the longest microbial time-series analyzed to date using high-resolution 16S rRNA tag pyrosequencing of samples taken monthly over 6 years at a temperate marine coastal site off Plymouth, UK. Data treatment effected the estimation of community richness over a 6-year period, whereby 8794 operational taxonomic units (OTUs) were identified using single-linkage preclustering and 21\u2009130 OTUs were identified by denoising the data. The Alphaproteobacteria were the most abundant Class, and the most frequently recorded OTUs were members of the Rickettsiales (SAR 11) and Rhodobacteriales. This near-surface ocean bacterial community showed strong repeatable seasonal patterns, which were defined by winter peaks in diversity across all years. Environmental variables explained far more variation in seasonally predictable bacteria than did data on protists or metazoan biomass. Change in day length alone explains &gt;65% of the variance in community diversity. The results suggested that seasonal changes in environmental variables are more important than trophic interactions. Interestingly, microbial association network analysis showed that correlations in abundance were stronger within bacterial taxa rather than between bacteria and eukaryotes, or between bacteria and environmental variables.", "author" : [ { "dropping-particle" : "", "family" : "Gilbert", "given" : "Jack A", "non-dropping-particle" : "", "parse-names" : false, "suffix" : "" }, { "dropping-particle" : "", "family" : "Steele", "given" : "Joshua A", "non-dropping-particle" : "", "parse-names" : false, "suffix" : "" }, { "dropping-particle" : "", "family" : "Caporaso", "given" : "J Gregory", "non-dropping-particle" : "", "parse-names" : false, "suffix" : "" }, { "dropping-particle" : "", "family" : "Steinbr\u00fcck", "given" : "Lars", "non-dropping-particle" : "", "parse-names" : false, "suffix" : "" }, { "dropping-particle" : "", "family" : "Reeder", "given" : "Jens", "non-dropping-particle" : "", "parse-names" : false, "suffix" : "" }, { "dropping-particle" : "", "family" : "Temperton", "given" : "Ben", "non-dropping-particle" : "", "parse-names" : false, "suffix" : "" }, { "dropping-particle" : "", "family" : "Huse", "given" : "Susan", "non-dropping-particle" : "", "parse-names" : false, "suffix" : "" }, { "dropping-particle" : "", "family" : "McHardy", "given" : "Alice C", "non-dropping-particle" : "", "parse-names" : false, "suffix" : "" }, { "dropping-particle" : "", "family" : "Knight", "given" : "Rob", "non-dropping-particle" : "", "parse-names" : false, "suffix" : "" }, { "dropping-particle" : "", "family" : "Joint", "given" : "Ian", "non-dropping-particle" : "", "parse-names" : false, "suffix" : "" }, { "dropping-particle" : "", "family" : "Somerfield", "given" : "Paul", "non-dropping-particle" : "", "parse-names" : false, "suffix" : "" }, { "dropping-particle" : "", "family" : "Fuhrman", "given" : "Jed A", "non-dropping-particle" : "", "parse-names" : false, "suffix" : "" }, { "dropping-particle" : "", "family" : "Field", "given" : "Dawn", "non-dropping-particle" : "", "parse-names" : false, "suffix" : "" } ], "container-title" : "The ISME journal", "id" : "ITEM-1", "issue" : "2", "issued" : { "date-parts" : [ [ "2012", "2" ] ] }, "page" : "298-308", "title" : "Defining seasonal marine microbial community dynamics.", "type" : "article-journal", "volume" : "6" }, "uris" : [ "http://www.mendeley.com/documents/?uuid=f490e399-3cd2-4d12-b6cb-97db52d545fa" ] } ], "mendeley" : { "formattedCitation" : "(2)", "plainTextFormattedCitation" : "(2)", "previouslyFormattedCitation" : "(2)" }, "properties" : { "noteIndex" : 0 }, "schema" : "https://github.com/citation-style-language/schema/raw/master/csl-citation.json" }</w:instrText>
      </w:r>
      <w:r w:rsidRPr="009E5E60">
        <w:rPr>
          <w:rFonts w:ascii="Cambria" w:hAnsi="Cambria" w:cs="Arial"/>
          <w:color w:val="000000"/>
          <w:sz w:val="22"/>
          <w:szCs w:val="22"/>
        </w:rPr>
        <w:fldChar w:fldCharType="separate"/>
      </w:r>
      <w:r w:rsidRPr="009E5E60">
        <w:rPr>
          <w:rFonts w:ascii="Cambria" w:hAnsi="Cambria" w:cs="Arial"/>
          <w:noProof/>
          <w:color w:val="000000"/>
          <w:sz w:val="22"/>
          <w:szCs w:val="22"/>
        </w:rPr>
        <w:t>(2)</w:t>
      </w:r>
      <w:r w:rsidRPr="009E5E60">
        <w:rPr>
          <w:rFonts w:ascii="Cambria" w:hAnsi="Cambria" w:cs="Arial"/>
          <w:color w:val="000000"/>
          <w:sz w:val="22"/>
          <w:szCs w:val="22"/>
        </w:rPr>
        <w:fldChar w:fldCharType="end"/>
      </w:r>
      <w:r w:rsidRPr="009E5E60">
        <w:rPr>
          <w:rFonts w:ascii="Cambria" w:hAnsi="Cambria" w:cs="Arial"/>
          <w:color w:val="000000"/>
          <w:sz w:val="22"/>
          <w:szCs w:val="22"/>
        </w:rPr>
        <w:t xml:space="preserve">). </w:t>
      </w:r>
      <w:r w:rsidRPr="009E5E60">
        <w:rPr>
          <w:rFonts w:ascii="Cambria" w:hAnsi="Cambria"/>
          <w:sz w:val="22"/>
          <w:szCs w:val="22"/>
        </w:rPr>
        <w:t xml:space="preserve">ShotMAP </w:t>
      </w:r>
      <w:r w:rsidRPr="009E5E60">
        <w:rPr>
          <w:rFonts w:ascii="Cambria" w:hAnsi="Cambria" w:cs="Arial"/>
          <w:color w:val="000000"/>
          <w:sz w:val="22"/>
          <w:szCs w:val="22"/>
        </w:rPr>
        <w:t>provides the computational tools and summary statistics necessary to explore and address these sample-specific factors that may confound intersample comparisons of distinct gene families.</w:t>
      </w:r>
    </w:p>
    <w:p w14:paraId="72C48AE6" w14:textId="77777777" w:rsidR="009D38CE" w:rsidRPr="009E5E60" w:rsidRDefault="009D38CE" w:rsidP="009D38CE">
      <w:pPr>
        <w:rPr>
          <w:rFonts w:ascii="Cambria" w:hAnsi="Cambria"/>
          <w:sz w:val="22"/>
          <w:szCs w:val="22"/>
        </w:rPr>
      </w:pPr>
    </w:p>
    <w:p w14:paraId="79119542" w14:textId="77777777" w:rsidR="009D38CE" w:rsidRPr="009E5E60" w:rsidRDefault="009D38CE" w:rsidP="009D38CE">
      <w:pPr>
        <w:rPr>
          <w:rFonts w:ascii="Cambria" w:hAnsi="Cambria"/>
          <w:b/>
          <w:sz w:val="22"/>
          <w:szCs w:val="22"/>
        </w:rPr>
      </w:pPr>
      <w:r w:rsidRPr="009E5E60">
        <w:rPr>
          <w:rFonts w:ascii="Cambria" w:hAnsi="Cambria"/>
          <w:b/>
          <w:sz w:val="22"/>
          <w:szCs w:val="22"/>
        </w:rPr>
        <w:t>References</w:t>
      </w:r>
    </w:p>
    <w:p w14:paraId="329800FC" w14:textId="77777777" w:rsidR="009D38CE" w:rsidRPr="009E5E60" w:rsidRDefault="009D38CE" w:rsidP="009D38CE">
      <w:pPr>
        <w:pStyle w:val="NormalWeb"/>
        <w:ind w:left="640" w:hanging="640"/>
        <w:rPr>
          <w:rFonts w:ascii="Cambria" w:hAnsi="Cambria"/>
          <w:noProof/>
          <w:sz w:val="22"/>
          <w:szCs w:val="22"/>
        </w:rPr>
      </w:pPr>
      <w:r w:rsidRPr="009E5E60">
        <w:rPr>
          <w:rFonts w:ascii="Cambria" w:hAnsi="Cambria"/>
          <w:sz w:val="22"/>
          <w:szCs w:val="22"/>
        </w:rPr>
        <w:fldChar w:fldCharType="begin" w:fldLock="1"/>
      </w:r>
      <w:r w:rsidRPr="009E5E60">
        <w:rPr>
          <w:rFonts w:ascii="Cambria" w:hAnsi="Cambria"/>
          <w:sz w:val="22"/>
          <w:szCs w:val="22"/>
        </w:rPr>
        <w:instrText xml:space="preserve">ADDIN Mendeley Bibliography CSL_BIBLIOGRAPHY </w:instrText>
      </w:r>
      <w:r w:rsidRPr="009E5E60">
        <w:rPr>
          <w:rFonts w:ascii="Cambria" w:hAnsi="Cambria"/>
          <w:sz w:val="22"/>
          <w:szCs w:val="22"/>
        </w:rPr>
        <w:fldChar w:fldCharType="separate"/>
      </w:r>
      <w:r w:rsidRPr="009E5E60">
        <w:rPr>
          <w:rFonts w:ascii="Cambria" w:hAnsi="Cambria"/>
          <w:noProof/>
          <w:sz w:val="22"/>
          <w:szCs w:val="22"/>
        </w:rPr>
        <w:t xml:space="preserve">1. </w:t>
      </w:r>
      <w:r w:rsidRPr="009E5E60">
        <w:rPr>
          <w:rFonts w:ascii="Cambria" w:hAnsi="Cambria"/>
          <w:noProof/>
          <w:sz w:val="22"/>
          <w:szCs w:val="22"/>
        </w:rPr>
        <w:tab/>
        <w:t>Poretsky RS, Hewson I, Sun S, Allen AE, Zehr JP, Moran MA. Comparative day/night metatranscriptomic analysis of microbial communities in the North Pacific subtropical gyre. Environ Microbiol [Internet]. 2009 Jun [cited 2015 Feb 28];11(6):1358–75. Available from: http://www.ncbi.nlm.nih.gov/pubmed/19207571</w:t>
      </w:r>
    </w:p>
    <w:p w14:paraId="0C6A8EB4" w14:textId="77777777" w:rsidR="009D38CE" w:rsidRPr="009E5E60" w:rsidRDefault="009D38CE" w:rsidP="009D38CE">
      <w:pPr>
        <w:pStyle w:val="NormalWeb"/>
        <w:ind w:left="640" w:hanging="640"/>
        <w:rPr>
          <w:rFonts w:ascii="Cambria" w:hAnsi="Cambria"/>
          <w:noProof/>
          <w:sz w:val="22"/>
          <w:szCs w:val="22"/>
        </w:rPr>
      </w:pPr>
      <w:r w:rsidRPr="009E5E60">
        <w:rPr>
          <w:rFonts w:ascii="Cambria" w:hAnsi="Cambria"/>
          <w:noProof/>
          <w:sz w:val="22"/>
          <w:szCs w:val="22"/>
        </w:rPr>
        <w:t xml:space="preserve">2. </w:t>
      </w:r>
      <w:r w:rsidRPr="009E5E60">
        <w:rPr>
          <w:rFonts w:ascii="Cambria" w:hAnsi="Cambria"/>
          <w:noProof/>
          <w:sz w:val="22"/>
          <w:szCs w:val="22"/>
        </w:rPr>
        <w:tab/>
        <w:t xml:space="preserve">Gilbert JA, Steele JA, Caporaso JG, Steinbrück L, Reeder J, Temperton B, et al. Defining seasonal marine microbial community dynamics. ISME J [Internet]. 2012 Feb [cited 2014 Mar 21];6(2):298–308. Available from: http://www.pubmedcentral.nih.gov/articlerender.fcgi?artid=3260500&amp;tool=pmcentrez&amp;rendertype=abstract </w:t>
      </w:r>
    </w:p>
    <w:p w14:paraId="6EF149FB" w14:textId="77777777" w:rsidR="009D38CE" w:rsidRDefault="009D38CE" w:rsidP="009D38CE">
      <w:r w:rsidRPr="009E5E60">
        <w:rPr>
          <w:rFonts w:ascii="Cambria" w:hAnsi="Cambria"/>
          <w:sz w:val="22"/>
          <w:szCs w:val="22"/>
        </w:rPr>
        <w:fldChar w:fldCharType="end"/>
      </w:r>
    </w:p>
    <w:sectPr w:rsidR="009D38CE" w:rsidSect="005E34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D7"/>
    <w:rsid w:val="005E341D"/>
    <w:rsid w:val="009D38CE"/>
    <w:rsid w:val="00DA5F9D"/>
    <w:rsid w:val="00E449D7"/>
    <w:rsid w:val="00FD7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633E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8C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8C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etagenomics.anl.gov/metagenomics.cgi?page=MetagenomeProject&amp;project=10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1637</Words>
  <Characters>11121</Characters>
  <Application>Microsoft Macintosh Word</Application>
  <DocSecurity>0</DocSecurity>
  <Lines>168</Lines>
  <Paragraphs>55</Paragraphs>
  <ScaleCrop>false</ScaleCrop>
  <Company/>
  <LinksUpToDate>false</LinksUpToDate>
  <CharactersWithSpaces>12703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Sharpton</dc:creator>
  <cp:keywords/>
  <dc:description/>
  <cp:lastModifiedBy>Thomas Sharpton</cp:lastModifiedBy>
  <cp:revision>3</cp:revision>
  <dcterms:created xsi:type="dcterms:W3CDTF">2015-03-02T05:58:00Z</dcterms:created>
  <dcterms:modified xsi:type="dcterms:W3CDTF">2015-06-22T13:08:00Z</dcterms:modified>
</cp:coreProperties>
</file>