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F" w:rsidRDefault="008C6E0F" w:rsidP="00945159">
      <w:pPr>
        <w:jc w:val="both"/>
      </w:pPr>
      <w:r w:rsidRPr="008C6E0F">
        <w:rPr>
          <w:rFonts w:ascii="Arial" w:hAnsi="Arial" w:cs="Arial"/>
          <w:b/>
        </w:rPr>
        <w:t>S</w:t>
      </w:r>
      <w:r w:rsidR="008800AD">
        <w:rPr>
          <w:rFonts w:ascii="Arial" w:hAnsi="Arial" w:cs="Arial"/>
          <w:b/>
        </w:rPr>
        <w:t>5</w:t>
      </w:r>
      <w:r w:rsidRPr="008C6E0F">
        <w:rPr>
          <w:rFonts w:ascii="Arial" w:hAnsi="Arial" w:cs="Arial"/>
          <w:b/>
        </w:rPr>
        <w:t xml:space="preserve"> Table</w:t>
      </w:r>
      <w:bookmarkStart w:id="0" w:name="_GoBack"/>
      <w:bookmarkEnd w:id="0"/>
      <w:r w:rsidRPr="008C6E0F">
        <w:rPr>
          <w:rFonts w:ascii="Arial" w:hAnsi="Arial" w:cs="Arial"/>
          <w:b/>
        </w:rPr>
        <w:t>:</w:t>
      </w:r>
      <w:r w:rsidRPr="00503645">
        <w:rPr>
          <w:rFonts w:ascii="Arial" w:hAnsi="Arial" w:cs="Arial"/>
        </w:rPr>
        <w:t xml:space="preserve"> </w:t>
      </w:r>
      <w:r w:rsidR="00E37369">
        <w:rPr>
          <w:rFonts w:ascii="Arial" w:hAnsi="Arial" w:cs="Arial"/>
        </w:rPr>
        <w:t xml:space="preserve">Results from the </w:t>
      </w:r>
      <w:r w:rsidR="00712AD0">
        <w:rPr>
          <w:rFonts w:ascii="Arial" w:hAnsi="Arial" w:cs="Arial"/>
        </w:rPr>
        <w:t>l</w:t>
      </w:r>
      <w:r w:rsidR="00712AD0" w:rsidRPr="00503645">
        <w:rPr>
          <w:rFonts w:ascii="Arial" w:hAnsi="Arial" w:cs="Arial"/>
        </w:rPr>
        <w:t>ength</w:t>
      </w:r>
      <w:r w:rsidRPr="00503645">
        <w:rPr>
          <w:rFonts w:ascii="Arial" w:hAnsi="Arial" w:cs="Arial"/>
        </w:rPr>
        <w:t xml:space="preserve"> simulation</w:t>
      </w:r>
      <w:r w:rsidR="00E37369">
        <w:rPr>
          <w:rFonts w:ascii="Arial" w:hAnsi="Arial" w:cs="Arial"/>
        </w:rPr>
        <w:t>s</w:t>
      </w:r>
      <w:r w:rsidRPr="00503645">
        <w:rPr>
          <w:rFonts w:ascii="Arial" w:hAnsi="Arial" w:cs="Arial"/>
        </w:rPr>
        <w:t>. Top (bottom) number in each cell displays the results with the full (naïve) error model, out of 100 simulations for each scenario</w:t>
      </w:r>
      <w:r w:rsidR="00E0366B">
        <w:rPr>
          <w:rFonts w:ascii="Arial" w:hAnsi="Arial" w:cs="Arial"/>
        </w:rPr>
        <w:t>, each with 50X coverage</w:t>
      </w:r>
      <w:r w:rsidRPr="00503645">
        <w:rPr>
          <w:rFonts w:ascii="Arial" w:hAnsi="Arial" w:cs="Arial"/>
        </w:rPr>
        <w:t>. FNR</w:t>
      </w:r>
      <w:r>
        <w:rPr>
          <w:rFonts w:ascii="Arial" w:hAnsi="Arial" w:cs="Arial"/>
        </w:rPr>
        <w:t xml:space="preserve"> denotes</w:t>
      </w:r>
      <w:r w:rsidRPr="00503645">
        <w:rPr>
          <w:rFonts w:ascii="Arial" w:hAnsi="Arial" w:cs="Arial"/>
        </w:rPr>
        <w:t xml:space="preserve"> false negative rate</w:t>
      </w:r>
      <w:r w:rsidR="009D47D7">
        <w:rPr>
          <w:rFonts w:ascii="Arial" w:hAnsi="Arial" w:cs="Arial"/>
        </w:rPr>
        <w:t xml:space="preserve"> of SNP detection</w:t>
      </w:r>
      <w:r w:rsidRPr="00503645">
        <w:rPr>
          <w:rFonts w:ascii="Arial" w:hAnsi="Arial" w:cs="Arial"/>
        </w:rPr>
        <w:t>.</w:t>
      </w:r>
    </w:p>
    <w:tbl>
      <w:tblPr>
        <w:tblStyle w:val="TableGrid"/>
        <w:tblW w:w="95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98"/>
        <w:gridCol w:w="1017"/>
        <w:gridCol w:w="690"/>
        <w:gridCol w:w="268"/>
        <w:gridCol w:w="1001"/>
        <w:gridCol w:w="939"/>
        <w:gridCol w:w="708"/>
        <w:gridCol w:w="268"/>
        <w:gridCol w:w="968"/>
        <w:gridCol w:w="939"/>
        <w:gridCol w:w="738"/>
      </w:tblGrid>
      <w:tr w:rsidR="009A7F27" w:rsidRPr="00AA60EA" w:rsidTr="00AB2026">
        <w:trPr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</w:tcBorders>
            <w:vAlign w:val="center"/>
          </w:tcPr>
          <w:p w:rsidR="009A7F27" w:rsidRPr="00AA60EA" w:rsidRDefault="009A7F27" w:rsidP="00FC24D2">
            <w:pPr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True Ploidy</w:t>
            </w:r>
          </w:p>
        </w:tc>
        <w:tc>
          <w:tcPr>
            <w:tcW w:w="85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Contig length</w:t>
            </w:r>
          </w:p>
        </w:tc>
      </w:tr>
      <w:tr w:rsidR="009A7F27" w:rsidRPr="00AA60EA" w:rsidTr="00AB2026">
        <w:trPr>
          <w:jc w:val="center"/>
        </w:trPr>
        <w:tc>
          <w:tcPr>
            <w:tcW w:w="1027" w:type="dxa"/>
            <w:vMerge/>
            <w:vAlign w:val="center"/>
          </w:tcPr>
          <w:p w:rsidR="009A7F27" w:rsidRPr="00AA60EA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A7F27" w:rsidRPr="00FC24D2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 w:rsidRPr="00FC24D2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</w:tr>
      <w:tr w:rsidR="009A7F27" w:rsidRPr="00AA60EA" w:rsidTr="00AB2026">
        <w:trPr>
          <w:jc w:val="center"/>
        </w:trPr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9A7F27" w:rsidRPr="00AA60EA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ploidy (%)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dosage (%)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FNR (%)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ploidy (%)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dosage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FNR (%)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ploidy (%)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DC6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dosage (%)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27" w:rsidRDefault="009A7F27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FNR (%)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DC6285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DC6285" w:rsidRPr="00AA60EA" w:rsidRDefault="00B579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BB0538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2</w:t>
            </w:r>
          </w:p>
        </w:tc>
        <w:tc>
          <w:tcPr>
            <w:tcW w:w="998" w:type="dxa"/>
            <w:vAlign w:val="center"/>
          </w:tcPr>
          <w:p w:rsidR="00DC6285" w:rsidRDefault="00DC6285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17" w:type="dxa"/>
            <w:vAlign w:val="center"/>
          </w:tcPr>
          <w:p w:rsidR="00DC6285" w:rsidRDefault="000E38CB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90" w:type="dxa"/>
            <w:vAlign w:val="center"/>
          </w:tcPr>
          <w:p w:rsidR="00DC6285" w:rsidRDefault="000E38CB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9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vAlign w:val="center"/>
          </w:tcPr>
          <w:p w:rsidR="00DC6285" w:rsidRDefault="00F21B1B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E8E" w:rsidRPr="00AA60EA" w:rsidRDefault="00697E8E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  <w:vAlign w:val="center"/>
          </w:tcPr>
          <w:p w:rsidR="00DC6285" w:rsidRDefault="000D08D3" w:rsidP="00BB053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  <w:p w:rsidR="00697E8E" w:rsidRPr="00AA60EA" w:rsidRDefault="00697E8E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515439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3</w:t>
            </w:r>
          </w:p>
        </w:tc>
        <w:tc>
          <w:tcPr>
            <w:tcW w:w="998" w:type="dxa"/>
            <w:vAlign w:val="center"/>
          </w:tcPr>
          <w:p w:rsidR="00DC6285" w:rsidRDefault="00DC6285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17" w:type="dxa"/>
            <w:vAlign w:val="center"/>
          </w:tcPr>
          <w:p w:rsidR="00DC6285" w:rsidRDefault="000E38CB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90" w:type="dxa"/>
            <w:vAlign w:val="center"/>
          </w:tcPr>
          <w:p w:rsidR="00DC6285" w:rsidRDefault="000E38CB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9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vAlign w:val="center"/>
          </w:tcPr>
          <w:p w:rsidR="00DC6285" w:rsidRDefault="00F21B1B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97E8E" w:rsidRPr="00AA60EA" w:rsidRDefault="00697E8E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  <w:vAlign w:val="center"/>
          </w:tcPr>
          <w:p w:rsidR="000D08D3" w:rsidRDefault="000D08D3" w:rsidP="0051543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  <w:p w:rsidR="00697E8E" w:rsidRPr="00AA60EA" w:rsidRDefault="00697E8E" w:rsidP="000D0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B64416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4</w:t>
            </w:r>
          </w:p>
        </w:tc>
        <w:tc>
          <w:tcPr>
            <w:tcW w:w="998" w:type="dxa"/>
            <w:vAlign w:val="center"/>
          </w:tcPr>
          <w:p w:rsidR="00DC6285" w:rsidRDefault="00DC6285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17" w:type="dxa"/>
            <w:vAlign w:val="center"/>
          </w:tcPr>
          <w:p w:rsidR="00DC6285" w:rsidRDefault="000E38CB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99.28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99.38</w:t>
            </w:r>
          </w:p>
        </w:tc>
        <w:tc>
          <w:tcPr>
            <w:tcW w:w="690" w:type="dxa"/>
            <w:vAlign w:val="center"/>
          </w:tcPr>
          <w:p w:rsidR="00DC6285" w:rsidRDefault="000E38CB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9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99.97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99.94</w:t>
            </w:r>
          </w:p>
        </w:tc>
        <w:tc>
          <w:tcPr>
            <w:tcW w:w="708" w:type="dxa"/>
            <w:vAlign w:val="center"/>
          </w:tcPr>
          <w:p w:rsidR="00DC6285" w:rsidRDefault="00F21B1B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99.98</w:t>
            </w:r>
          </w:p>
          <w:p w:rsidR="00A37936" w:rsidRPr="00AA60EA" w:rsidRDefault="00A37936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99.95</w:t>
            </w:r>
          </w:p>
        </w:tc>
        <w:tc>
          <w:tcPr>
            <w:tcW w:w="738" w:type="dxa"/>
            <w:vAlign w:val="center"/>
          </w:tcPr>
          <w:p w:rsidR="00DC6285" w:rsidRDefault="000D08D3" w:rsidP="00B6441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A37936" w:rsidRPr="00AA60EA" w:rsidRDefault="00A37936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574A6C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5</w:t>
            </w:r>
          </w:p>
        </w:tc>
        <w:tc>
          <w:tcPr>
            <w:tcW w:w="998" w:type="dxa"/>
            <w:vAlign w:val="center"/>
          </w:tcPr>
          <w:p w:rsidR="00DC6285" w:rsidRDefault="00DC6285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017" w:type="dxa"/>
            <w:vAlign w:val="center"/>
          </w:tcPr>
          <w:p w:rsidR="00DC6285" w:rsidRDefault="000E38CB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99.15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99.37</w:t>
            </w:r>
          </w:p>
        </w:tc>
        <w:tc>
          <w:tcPr>
            <w:tcW w:w="690" w:type="dxa"/>
            <w:vAlign w:val="center"/>
          </w:tcPr>
          <w:p w:rsidR="00DC6285" w:rsidRDefault="000E38CB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2.57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9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99.91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99.90</w:t>
            </w:r>
          </w:p>
        </w:tc>
        <w:tc>
          <w:tcPr>
            <w:tcW w:w="708" w:type="dxa"/>
            <w:vAlign w:val="center"/>
          </w:tcPr>
          <w:p w:rsidR="00DC6285" w:rsidRDefault="00F21B1B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99.96</w:t>
            </w:r>
          </w:p>
          <w:p w:rsidR="000D6119" w:rsidRPr="00AA60EA" w:rsidRDefault="000D6119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99.93</w:t>
            </w:r>
          </w:p>
        </w:tc>
        <w:tc>
          <w:tcPr>
            <w:tcW w:w="738" w:type="dxa"/>
            <w:vAlign w:val="center"/>
          </w:tcPr>
          <w:p w:rsidR="00DC6285" w:rsidRDefault="000D08D3" w:rsidP="00574A6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0D6119" w:rsidRPr="00AA60EA" w:rsidRDefault="000D6119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ED5CE3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6</w:t>
            </w:r>
          </w:p>
        </w:tc>
        <w:tc>
          <w:tcPr>
            <w:tcW w:w="998" w:type="dxa"/>
            <w:vAlign w:val="center"/>
          </w:tcPr>
          <w:p w:rsidR="00DC6285" w:rsidRDefault="00DC6285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017" w:type="dxa"/>
            <w:vAlign w:val="center"/>
          </w:tcPr>
          <w:p w:rsidR="00DC6285" w:rsidRDefault="000E38CB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99.55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99.44</w:t>
            </w:r>
          </w:p>
        </w:tc>
        <w:tc>
          <w:tcPr>
            <w:tcW w:w="690" w:type="dxa"/>
            <w:vAlign w:val="center"/>
          </w:tcPr>
          <w:p w:rsidR="00DC6285" w:rsidRDefault="000E38CB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90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99.81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99.58</w:t>
            </w:r>
          </w:p>
        </w:tc>
        <w:tc>
          <w:tcPr>
            <w:tcW w:w="708" w:type="dxa"/>
            <w:vAlign w:val="center"/>
          </w:tcPr>
          <w:p w:rsidR="00DC6285" w:rsidRDefault="00F21B1B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99.80</w:t>
            </w:r>
          </w:p>
          <w:p w:rsidR="00F8204A" w:rsidRPr="00AA60EA" w:rsidRDefault="00F8204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99.67</w:t>
            </w:r>
          </w:p>
        </w:tc>
        <w:tc>
          <w:tcPr>
            <w:tcW w:w="738" w:type="dxa"/>
            <w:vAlign w:val="center"/>
          </w:tcPr>
          <w:p w:rsidR="00DC6285" w:rsidRDefault="000D08D3" w:rsidP="00ED5CE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  <w:p w:rsidR="00F8204A" w:rsidRPr="00AA60EA" w:rsidRDefault="00F8204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FC0594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7</w:t>
            </w:r>
          </w:p>
        </w:tc>
        <w:tc>
          <w:tcPr>
            <w:tcW w:w="998" w:type="dxa"/>
            <w:vAlign w:val="center"/>
          </w:tcPr>
          <w:p w:rsidR="00DC6285" w:rsidRDefault="00DC6285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017" w:type="dxa"/>
            <w:vAlign w:val="center"/>
          </w:tcPr>
          <w:p w:rsidR="00DC6285" w:rsidRDefault="000E38CB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97.97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97.64</w:t>
            </w:r>
          </w:p>
        </w:tc>
        <w:tc>
          <w:tcPr>
            <w:tcW w:w="690" w:type="dxa"/>
            <w:vAlign w:val="center"/>
          </w:tcPr>
          <w:p w:rsidR="00DC6285" w:rsidRDefault="000E38CB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99.54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99.34</w:t>
            </w:r>
          </w:p>
        </w:tc>
        <w:tc>
          <w:tcPr>
            <w:tcW w:w="708" w:type="dxa"/>
            <w:vAlign w:val="center"/>
          </w:tcPr>
          <w:p w:rsidR="00DC6285" w:rsidRDefault="00F21B1B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99.75</w:t>
            </w:r>
          </w:p>
          <w:p w:rsidR="0006280D" w:rsidRPr="00AA60EA" w:rsidRDefault="0006280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99.60</w:t>
            </w:r>
          </w:p>
        </w:tc>
        <w:tc>
          <w:tcPr>
            <w:tcW w:w="738" w:type="dxa"/>
            <w:vAlign w:val="center"/>
          </w:tcPr>
          <w:p w:rsidR="00DC6285" w:rsidRDefault="000D08D3" w:rsidP="00FC05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  <w:p w:rsidR="0006280D" w:rsidRPr="00AA60EA" w:rsidRDefault="0006280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8</w:t>
            </w:r>
          </w:p>
        </w:tc>
        <w:tc>
          <w:tcPr>
            <w:tcW w:w="998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17" w:type="dxa"/>
            <w:vAlign w:val="center"/>
          </w:tcPr>
          <w:p w:rsidR="00DC6285" w:rsidRDefault="000E38C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98.36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97.56</w:t>
            </w:r>
          </w:p>
        </w:tc>
        <w:tc>
          <w:tcPr>
            <w:tcW w:w="690" w:type="dxa"/>
            <w:vAlign w:val="center"/>
          </w:tcPr>
          <w:p w:rsidR="00DC6285" w:rsidRDefault="000E38C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99.07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98.82</w:t>
            </w:r>
          </w:p>
        </w:tc>
        <w:tc>
          <w:tcPr>
            <w:tcW w:w="708" w:type="dxa"/>
            <w:vAlign w:val="center"/>
          </w:tcPr>
          <w:p w:rsidR="00DC6285" w:rsidRDefault="00F21B1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99.36</w:t>
            </w:r>
          </w:p>
          <w:p w:rsidR="00D62034" w:rsidRPr="00AA60EA" w:rsidRDefault="00D62034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99.02</w:t>
            </w:r>
          </w:p>
        </w:tc>
        <w:tc>
          <w:tcPr>
            <w:tcW w:w="738" w:type="dxa"/>
            <w:vAlign w:val="center"/>
          </w:tcPr>
          <w:p w:rsidR="00DC6285" w:rsidRDefault="000D08D3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D62034" w:rsidRPr="00AA60EA" w:rsidRDefault="00D62034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017" w:type="dxa"/>
            <w:vAlign w:val="center"/>
          </w:tcPr>
          <w:p w:rsidR="00DC6285" w:rsidRDefault="00D93AC8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98.54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98.41</w:t>
            </w:r>
          </w:p>
        </w:tc>
        <w:tc>
          <w:tcPr>
            <w:tcW w:w="690" w:type="dxa"/>
            <w:vAlign w:val="center"/>
          </w:tcPr>
          <w:p w:rsidR="00DC6285" w:rsidRDefault="00D93AC8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</w:t>
            </w:r>
          </w:p>
        </w:tc>
        <w:tc>
          <w:tcPr>
            <w:tcW w:w="268" w:type="dxa"/>
            <w:vAlign w:val="center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99.29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98.88</w:t>
            </w:r>
          </w:p>
        </w:tc>
        <w:tc>
          <w:tcPr>
            <w:tcW w:w="708" w:type="dxa"/>
            <w:vAlign w:val="center"/>
          </w:tcPr>
          <w:p w:rsidR="00DC6285" w:rsidRDefault="00F21B1B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99.27</w:t>
            </w:r>
          </w:p>
          <w:p w:rsidR="00ED079B" w:rsidRPr="00AA60EA" w:rsidRDefault="00ED079B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98.91</w:t>
            </w:r>
          </w:p>
        </w:tc>
        <w:tc>
          <w:tcPr>
            <w:tcW w:w="738" w:type="dxa"/>
            <w:vAlign w:val="center"/>
          </w:tcPr>
          <w:p w:rsidR="00DC6285" w:rsidRDefault="000D08D3" w:rsidP="00197FF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ED079B" w:rsidRPr="00AA60EA" w:rsidRDefault="00ED079B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10</w:t>
            </w:r>
          </w:p>
        </w:tc>
        <w:tc>
          <w:tcPr>
            <w:tcW w:w="998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17" w:type="dxa"/>
            <w:vAlign w:val="center"/>
          </w:tcPr>
          <w:p w:rsidR="00DC6285" w:rsidRDefault="00D93AC8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97.99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96.84</w:t>
            </w:r>
          </w:p>
        </w:tc>
        <w:tc>
          <w:tcPr>
            <w:tcW w:w="690" w:type="dxa"/>
            <w:vAlign w:val="center"/>
          </w:tcPr>
          <w:p w:rsidR="00DC6285" w:rsidRDefault="00397340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98.53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98.04</w:t>
            </w:r>
          </w:p>
        </w:tc>
        <w:tc>
          <w:tcPr>
            <w:tcW w:w="708" w:type="dxa"/>
            <w:vAlign w:val="center"/>
          </w:tcPr>
          <w:p w:rsidR="00DC6285" w:rsidRDefault="00F21B1B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98.58</w:t>
            </w:r>
          </w:p>
          <w:p w:rsidR="00012D10" w:rsidRPr="00AA60EA" w:rsidRDefault="00012D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97.94</w:t>
            </w:r>
          </w:p>
        </w:tc>
        <w:tc>
          <w:tcPr>
            <w:tcW w:w="738" w:type="dxa"/>
            <w:vAlign w:val="center"/>
          </w:tcPr>
          <w:p w:rsidR="00DC6285" w:rsidRDefault="000D08D3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012D10" w:rsidRPr="00AA60EA" w:rsidRDefault="00012D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11</w:t>
            </w:r>
          </w:p>
        </w:tc>
        <w:tc>
          <w:tcPr>
            <w:tcW w:w="998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17" w:type="dxa"/>
            <w:vAlign w:val="center"/>
          </w:tcPr>
          <w:p w:rsidR="00DC6285" w:rsidRDefault="00397340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97.53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97.21</w:t>
            </w:r>
          </w:p>
        </w:tc>
        <w:tc>
          <w:tcPr>
            <w:tcW w:w="690" w:type="dxa"/>
            <w:vAlign w:val="center"/>
          </w:tcPr>
          <w:p w:rsidR="00DC6285" w:rsidRDefault="00397340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97599F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97.72</w:t>
            </w:r>
          </w:p>
        </w:tc>
        <w:tc>
          <w:tcPr>
            <w:tcW w:w="708" w:type="dxa"/>
            <w:vAlign w:val="center"/>
          </w:tcPr>
          <w:p w:rsidR="00DC6285" w:rsidRDefault="0097599F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98.58</w:t>
            </w:r>
          </w:p>
          <w:p w:rsidR="00C72340" w:rsidRPr="00AA60EA" w:rsidRDefault="00C7234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97.95</w:t>
            </w:r>
          </w:p>
        </w:tc>
        <w:tc>
          <w:tcPr>
            <w:tcW w:w="738" w:type="dxa"/>
            <w:vAlign w:val="center"/>
          </w:tcPr>
          <w:p w:rsidR="00DC6285" w:rsidRDefault="000D08D3" w:rsidP="0047651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  <w:p w:rsidR="00C72340" w:rsidRPr="00AA60EA" w:rsidRDefault="00C7234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12</w:t>
            </w:r>
          </w:p>
        </w:tc>
        <w:tc>
          <w:tcPr>
            <w:tcW w:w="99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17" w:type="dxa"/>
            <w:vAlign w:val="center"/>
          </w:tcPr>
          <w:p w:rsidR="00DC6285" w:rsidRDefault="00397340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96.46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96.65</w:t>
            </w:r>
          </w:p>
        </w:tc>
        <w:tc>
          <w:tcPr>
            <w:tcW w:w="690" w:type="dxa"/>
            <w:vAlign w:val="center"/>
          </w:tcPr>
          <w:p w:rsidR="00DC6285" w:rsidRDefault="00397340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97.80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96.86</w:t>
            </w:r>
          </w:p>
        </w:tc>
        <w:tc>
          <w:tcPr>
            <w:tcW w:w="708" w:type="dxa"/>
            <w:vAlign w:val="center"/>
          </w:tcPr>
          <w:p w:rsidR="00DC6285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97.66</w:t>
            </w:r>
          </w:p>
          <w:p w:rsidR="00874C40" w:rsidRPr="00AA60EA" w:rsidRDefault="00874C4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96.79</w:t>
            </w:r>
          </w:p>
        </w:tc>
        <w:tc>
          <w:tcPr>
            <w:tcW w:w="738" w:type="dxa"/>
            <w:vAlign w:val="center"/>
          </w:tcPr>
          <w:p w:rsidR="00DC6285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  <w:p w:rsidR="00874C40" w:rsidRPr="00AA60EA" w:rsidRDefault="00874C4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C6285" w:rsidRPr="00AA60EA" w:rsidTr="00AB2026">
        <w:trPr>
          <w:jc w:val="center"/>
        </w:trPr>
        <w:tc>
          <w:tcPr>
            <w:tcW w:w="1027" w:type="dxa"/>
            <w:vAlign w:val="center"/>
          </w:tcPr>
          <w:p w:rsidR="00DC6285" w:rsidRPr="00AA60EA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13</w:t>
            </w:r>
          </w:p>
        </w:tc>
        <w:tc>
          <w:tcPr>
            <w:tcW w:w="99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DC6285" w:rsidRPr="00AA60EA" w:rsidRDefault="00DC6285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17" w:type="dxa"/>
            <w:vAlign w:val="center"/>
          </w:tcPr>
          <w:p w:rsidR="00DC6285" w:rsidRDefault="00397340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99.20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97.44</w:t>
            </w:r>
          </w:p>
        </w:tc>
        <w:tc>
          <w:tcPr>
            <w:tcW w:w="690" w:type="dxa"/>
            <w:vAlign w:val="center"/>
          </w:tcPr>
          <w:p w:rsidR="00DC6285" w:rsidRDefault="00397340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</w:t>
            </w:r>
          </w:p>
          <w:p w:rsidR="00A14310" w:rsidRPr="00AA60EA" w:rsidRDefault="00A14310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352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F21B1B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97.45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96.38</w:t>
            </w:r>
          </w:p>
        </w:tc>
        <w:tc>
          <w:tcPr>
            <w:tcW w:w="708" w:type="dxa"/>
            <w:vAlign w:val="center"/>
          </w:tcPr>
          <w:p w:rsidR="00DC6285" w:rsidRDefault="00F21B1B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</w:tc>
        <w:tc>
          <w:tcPr>
            <w:tcW w:w="268" w:type="dxa"/>
          </w:tcPr>
          <w:p w:rsidR="00DC6285" w:rsidRDefault="00DC6285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C6285" w:rsidRPr="00AA60EA" w:rsidRDefault="00DC6285" w:rsidP="00C42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DC6285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97.61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96.70</w:t>
            </w:r>
          </w:p>
        </w:tc>
        <w:tc>
          <w:tcPr>
            <w:tcW w:w="738" w:type="dxa"/>
            <w:vAlign w:val="center"/>
          </w:tcPr>
          <w:p w:rsidR="00DC6285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FB3A94" w:rsidRPr="00AA60EA" w:rsidTr="0043190F">
        <w:trPr>
          <w:trHeight w:hRule="exact" w:val="522"/>
          <w:jc w:val="center"/>
        </w:trPr>
        <w:tc>
          <w:tcPr>
            <w:tcW w:w="1027" w:type="dxa"/>
            <w:vAlign w:val="center"/>
          </w:tcPr>
          <w:p w:rsidR="00FC24D2" w:rsidRPr="00AA60EA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14</w:t>
            </w:r>
          </w:p>
        </w:tc>
        <w:tc>
          <w:tcPr>
            <w:tcW w:w="998" w:type="dxa"/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17" w:type="dxa"/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96.99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95.87</w:t>
            </w:r>
          </w:p>
        </w:tc>
        <w:tc>
          <w:tcPr>
            <w:tcW w:w="690" w:type="dxa"/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</w:t>
            </w:r>
          </w:p>
        </w:tc>
        <w:tc>
          <w:tcPr>
            <w:tcW w:w="268" w:type="dxa"/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39" w:type="dxa"/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96.44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95.36</w:t>
            </w:r>
          </w:p>
        </w:tc>
        <w:tc>
          <w:tcPr>
            <w:tcW w:w="708" w:type="dxa"/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</w:tc>
        <w:tc>
          <w:tcPr>
            <w:tcW w:w="268" w:type="dxa"/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C24D2" w:rsidRPr="00AA60EA" w:rsidRDefault="00DC6285" w:rsidP="00DC6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96.68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95.55</w:t>
            </w:r>
          </w:p>
        </w:tc>
        <w:tc>
          <w:tcPr>
            <w:tcW w:w="738" w:type="dxa"/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FB3A94" w:rsidRPr="00AA60EA" w:rsidTr="00AB2026">
        <w:trPr>
          <w:jc w:val="center"/>
        </w:trPr>
        <w:tc>
          <w:tcPr>
            <w:tcW w:w="1027" w:type="dxa"/>
            <w:vAlign w:val="center"/>
          </w:tcPr>
          <w:p w:rsidR="00FC24D2" w:rsidRPr="00AA60EA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15</w:t>
            </w:r>
          </w:p>
        </w:tc>
        <w:tc>
          <w:tcPr>
            <w:tcW w:w="998" w:type="dxa"/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017" w:type="dxa"/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94.19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95.91</w:t>
            </w:r>
          </w:p>
        </w:tc>
        <w:tc>
          <w:tcPr>
            <w:tcW w:w="690" w:type="dxa"/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</w:t>
            </w:r>
          </w:p>
        </w:tc>
        <w:tc>
          <w:tcPr>
            <w:tcW w:w="268" w:type="dxa"/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39" w:type="dxa"/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95.54</w:t>
            </w:r>
          </w:p>
        </w:tc>
        <w:tc>
          <w:tcPr>
            <w:tcW w:w="708" w:type="dxa"/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268" w:type="dxa"/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C24D2" w:rsidRPr="00AA60EA" w:rsidRDefault="00DC6285" w:rsidP="00DC6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96.67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95.49</w:t>
            </w:r>
          </w:p>
        </w:tc>
        <w:tc>
          <w:tcPr>
            <w:tcW w:w="738" w:type="dxa"/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FB3A94" w:rsidRPr="00AA60EA" w:rsidTr="00AB202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FC24D2" w:rsidRPr="00AA60EA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 w:rsidRPr="00AA60EA">
              <w:rPr>
                <w:rFonts w:ascii="Arial" w:hAnsi="Arial" w:cs="Arial"/>
              </w:rPr>
              <w:t>16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94.06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93.73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C24D2" w:rsidRDefault="00B72381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  <w:p w:rsidR="001F62AD" w:rsidRPr="00AA60EA" w:rsidRDefault="001F62AD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C24D2" w:rsidRDefault="00FC24D2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902C18" w:rsidRPr="00AA60EA" w:rsidRDefault="00902C18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95.60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C24D2" w:rsidRDefault="0097599F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  <w:p w:rsidR="000C7FB3" w:rsidRPr="00AA60EA" w:rsidRDefault="000C7FB3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FC24D2" w:rsidRDefault="00FC24D2" w:rsidP="00FC2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C6285" w:rsidRDefault="00DC6285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C24D2" w:rsidRPr="00AA60EA" w:rsidRDefault="00DC6285" w:rsidP="00DC6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95.52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C24D2" w:rsidRDefault="000D08D3" w:rsidP="0043190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  <w:p w:rsidR="00D8446A" w:rsidRPr="00AA60EA" w:rsidRDefault="00D8446A" w:rsidP="00FC2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</w:tbl>
    <w:p w:rsidR="00112F93" w:rsidRDefault="00112F93"/>
    <w:sectPr w:rsidR="0011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53"/>
    <w:rsid w:val="00012D10"/>
    <w:rsid w:val="0006280D"/>
    <w:rsid w:val="0007771D"/>
    <w:rsid w:val="000B2639"/>
    <w:rsid w:val="000C7FB3"/>
    <w:rsid w:val="000D03AD"/>
    <w:rsid w:val="000D08D3"/>
    <w:rsid w:val="000D4E1B"/>
    <w:rsid w:val="000D6119"/>
    <w:rsid w:val="000E38CB"/>
    <w:rsid w:val="00103CAE"/>
    <w:rsid w:val="00112F93"/>
    <w:rsid w:val="00113420"/>
    <w:rsid w:val="00164C42"/>
    <w:rsid w:val="00170A7B"/>
    <w:rsid w:val="00197FFD"/>
    <w:rsid w:val="001F62AD"/>
    <w:rsid w:val="00227B3A"/>
    <w:rsid w:val="00240E3F"/>
    <w:rsid w:val="002413C2"/>
    <w:rsid w:val="00276ADA"/>
    <w:rsid w:val="002A2DB0"/>
    <w:rsid w:val="002D280B"/>
    <w:rsid w:val="002E1A5B"/>
    <w:rsid w:val="0031776B"/>
    <w:rsid w:val="0032198B"/>
    <w:rsid w:val="003366F6"/>
    <w:rsid w:val="00340320"/>
    <w:rsid w:val="0035231C"/>
    <w:rsid w:val="00397340"/>
    <w:rsid w:val="003A019E"/>
    <w:rsid w:val="003A383C"/>
    <w:rsid w:val="003B7D53"/>
    <w:rsid w:val="003C09BF"/>
    <w:rsid w:val="003E1F90"/>
    <w:rsid w:val="003E7937"/>
    <w:rsid w:val="00411320"/>
    <w:rsid w:val="0043190F"/>
    <w:rsid w:val="00463187"/>
    <w:rsid w:val="00476518"/>
    <w:rsid w:val="00476D47"/>
    <w:rsid w:val="0049521C"/>
    <w:rsid w:val="004D0334"/>
    <w:rsid w:val="00515439"/>
    <w:rsid w:val="00527C84"/>
    <w:rsid w:val="0055670E"/>
    <w:rsid w:val="00574A6C"/>
    <w:rsid w:val="005765DD"/>
    <w:rsid w:val="005A18E0"/>
    <w:rsid w:val="006002C2"/>
    <w:rsid w:val="00631995"/>
    <w:rsid w:val="00665065"/>
    <w:rsid w:val="00697E8E"/>
    <w:rsid w:val="006A1FF1"/>
    <w:rsid w:val="006A6875"/>
    <w:rsid w:val="00712AD0"/>
    <w:rsid w:val="00726AF4"/>
    <w:rsid w:val="00776838"/>
    <w:rsid w:val="007B4493"/>
    <w:rsid w:val="00801488"/>
    <w:rsid w:val="00874C40"/>
    <w:rsid w:val="008800AD"/>
    <w:rsid w:val="00887ADD"/>
    <w:rsid w:val="008C6E0F"/>
    <w:rsid w:val="008F1641"/>
    <w:rsid w:val="00902C18"/>
    <w:rsid w:val="00912786"/>
    <w:rsid w:val="00945159"/>
    <w:rsid w:val="00955BE1"/>
    <w:rsid w:val="0097599F"/>
    <w:rsid w:val="00981D05"/>
    <w:rsid w:val="009A7F27"/>
    <w:rsid w:val="009D47D7"/>
    <w:rsid w:val="00A14310"/>
    <w:rsid w:val="00A34CC2"/>
    <w:rsid w:val="00A37936"/>
    <w:rsid w:val="00A5240B"/>
    <w:rsid w:val="00AB2026"/>
    <w:rsid w:val="00AF0692"/>
    <w:rsid w:val="00B06BF1"/>
    <w:rsid w:val="00B072C6"/>
    <w:rsid w:val="00B10B26"/>
    <w:rsid w:val="00B12904"/>
    <w:rsid w:val="00B27508"/>
    <w:rsid w:val="00B34E98"/>
    <w:rsid w:val="00B57633"/>
    <w:rsid w:val="00B57918"/>
    <w:rsid w:val="00B64416"/>
    <w:rsid w:val="00B72381"/>
    <w:rsid w:val="00B854BD"/>
    <w:rsid w:val="00B96118"/>
    <w:rsid w:val="00BB0538"/>
    <w:rsid w:val="00BB1FB9"/>
    <w:rsid w:val="00C23179"/>
    <w:rsid w:val="00C6412F"/>
    <w:rsid w:val="00C72340"/>
    <w:rsid w:val="00C86CDA"/>
    <w:rsid w:val="00CB1932"/>
    <w:rsid w:val="00D1020A"/>
    <w:rsid w:val="00D62034"/>
    <w:rsid w:val="00D7541D"/>
    <w:rsid w:val="00D8446A"/>
    <w:rsid w:val="00D93AC8"/>
    <w:rsid w:val="00DC6285"/>
    <w:rsid w:val="00DC6BA3"/>
    <w:rsid w:val="00DE333D"/>
    <w:rsid w:val="00E01470"/>
    <w:rsid w:val="00E0366B"/>
    <w:rsid w:val="00E2253B"/>
    <w:rsid w:val="00E37369"/>
    <w:rsid w:val="00E6335C"/>
    <w:rsid w:val="00E77D3E"/>
    <w:rsid w:val="00E84677"/>
    <w:rsid w:val="00E94A85"/>
    <w:rsid w:val="00ED079B"/>
    <w:rsid w:val="00ED5CE3"/>
    <w:rsid w:val="00EF304C"/>
    <w:rsid w:val="00F10CF3"/>
    <w:rsid w:val="00F12AA0"/>
    <w:rsid w:val="00F21B1B"/>
    <w:rsid w:val="00F25E1A"/>
    <w:rsid w:val="00F33DCB"/>
    <w:rsid w:val="00F4393F"/>
    <w:rsid w:val="00F8204A"/>
    <w:rsid w:val="00F85359"/>
    <w:rsid w:val="00FA5830"/>
    <w:rsid w:val="00FB3A94"/>
    <w:rsid w:val="00FC0594"/>
    <w:rsid w:val="00FC24D2"/>
    <w:rsid w:val="00FD1A1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Margarido</dc:creator>
  <cp:lastModifiedBy>gramarga@gmail.com</cp:lastModifiedBy>
  <cp:revision>129</cp:revision>
  <dcterms:created xsi:type="dcterms:W3CDTF">2013-03-22T13:38:00Z</dcterms:created>
  <dcterms:modified xsi:type="dcterms:W3CDTF">2015-01-26T11:49:00Z</dcterms:modified>
</cp:coreProperties>
</file>