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42" w:type="dxa"/>
        <w:jc w:val="center"/>
        <w:tblLook w:val="04A0" w:firstRow="1" w:lastRow="0" w:firstColumn="1" w:lastColumn="0" w:noHBand="0" w:noVBand="1"/>
      </w:tblPr>
      <w:tblGrid>
        <w:gridCol w:w="1624"/>
        <w:gridCol w:w="1736"/>
        <w:gridCol w:w="2305"/>
        <w:gridCol w:w="3066"/>
        <w:gridCol w:w="2911"/>
      </w:tblGrid>
      <w:tr w:rsidR="00625C68" w:rsidRPr="004F0CE0" w:rsidTr="009673AD">
        <w:trPr>
          <w:cantSplit/>
          <w:tblHeader/>
          <w:jc w:val="center"/>
        </w:trPr>
        <w:tc>
          <w:tcPr>
            <w:tcW w:w="1624" w:type="dxa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t>Level 1 Land Use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t>Predominant Land Use</w:t>
            </w:r>
          </w:p>
        </w:tc>
        <w:tc>
          <w:tcPr>
            <w:tcW w:w="2305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Minimal use</w:t>
            </w:r>
          </w:p>
        </w:tc>
        <w:tc>
          <w:tcPr>
            <w:tcW w:w="306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Light use</w:t>
            </w:r>
          </w:p>
        </w:tc>
        <w:tc>
          <w:tcPr>
            <w:tcW w:w="2911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Intense use</w:t>
            </w:r>
          </w:p>
        </w:tc>
      </w:tr>
      <w:tr w:rsidR="00625C68" w:rsidTr="009673AD">
        <w:trPr>
          <w:cantSplit/>
          <w:tblHeader/>
          <w:jc w:val="center"/>
        </w:trPr>
        <w:tc>
          <w:tcPr>
            <w:tcW w:w="1624" w:type="dxa"/>
          </w:tcPr>
          <w:p w:rsidR="00625C68" w:rsidRPr="00FF1DE4" w:rsidRDefault="00625C68" w:rsidP="009673AD">
            <w:pPr>
              <w:rPr>
                <w:b/>
              </w:rPr>
            </w:pPr>
            <w:r>
              <w:rPr>
                <w:b/>
              </w:rPr>
              <w:t>No evidence of prior destruction of the vegetation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 xml:space="preserve">Primary </w:t>
            </w:r>
            <w:r>
              <w:rPr>
                <w:b/>
              </w:rPr>
              <w:t>vegetation</w:t>
            </w:r>
          </w:p>
          <w:p w:rsidR="00625C68" w:rsidRPr="004F0CE0" w:rsidRDefault="00625C68" w:rsidP="009673AD">
            <w:pPr>
              <w:rPr>
                <w:b/>
              </w:rPr>
            </w:pPr>
          </w:p>
        </w:tc>
        <w:tc>
          <w:tcPr>
            <w:tcW w:w="2305" w:type="dxa"/>
          </w:tcPr>
          <w:p w:rsidR="00625C68" w:rsidRDefault="00625C68" w:rsidP="009673AD">
            <w:r>
              <w:t>Any disturbances identified are very minor (e.g., a trail or path) or very limited in the scope of their effect (e.g., hunting of a particular species of limited ecological importance).</w:t>
            </w:r>
          </w:p>
        </w:tc>
        <w:tc>
          <w:tcPr>
            <w:tcW w:w="3066" w:type="dxa"/>
          </w:tcPr>
          <w:p w:rsidR="00625C68" w:rsidRDefault="00625C68" w:rsidP="009673AD">
            <w:r>
              <w:t xml:space="preserve">One or more disturbances of moderate intensity (e.g., selective logging) or breadth of impact (e.g., </w:t>
            </w:r>
            <w:proofErr w:type="spellStart"/>
            <w:r>
              <w:t>bushmeat</w:t>
            </w:r>
            <w:proofErr w:type="spellEnd"/>
            <w:r>
              <w:t xml:space="preserve"> extraction), which are not severe enough to markedly change the nature of the ecosystem. Primary sites in suburban settings are at least Light use.</w:t>
            </w:r>
          </w:p>
        </w:tc>
        <w:tc>
          <w:tcPr>
            <w:tcW w:w="2911" w:type="dxa"/>
          </w:tcPr>
          <w:p w:rsidR="00625C68" w:rsidRDefault="00625C68" w:rsidP="009673AD">
            <w:r>
              <w:t>One or more disturbances that is severe enough to markedly change the nature of the ecosystem; this includes clear-felling of part of the site too recently for much recovery to have occurred. Primary sites in fully urban settings should be classed as Intense use.</w:t>
            </w:r>
          </w:p>
          <w:p w:rsidR="00625C68" w:rsidRDefault="00625C68" w:rsidP="009673AD">
            <w:r>
              <w:t xml:space="preserve"> </w:t>
            </w:r>
          </w:p>
        </w:tc>
      </w:tr>
      <w:tr w:rsidR="00625C68" w:rsidTr="009673AD">
        <w:trPr>
          <w:cantSplit/>
          <w:tblHeader/>
          <w:jc w:val="center"/>
        </w:trPr>
        <w:tc>
          <w:tcPr>
            <w:tcW w:w="1624" w:type="dxa"/>
            <w:vMerge w:val="restart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t>Recovering after destruction of the vegetation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Mature Secondary Vegetation</w:t>
            </w:r>
          </w:p>
        </w:tc>
        <w:tc>
          <w:tcPr>
            <w:tcW w:w="2305" w:type="dxa"/>
          </w:tcPr>
          <w:p w:rsidR="00625C68" w:rsidRDefault="00625C68" w:rsidP="009673AD">
            <w:r>
              <w:t>As for Primary Vegetation-Minimal use</w:t>
            </w:r>
          </w:p>
        </w:tc>
        <w:tc>
          <w:tcPr>
            <w:tcW w:w="3066" w:type="dxa"/>
          </w:tcPr>
          <w:p w:rsidR="00625C68" w:rsidRDefault="00625C68" w:rsidP="009673AD">
            <w:r>
              <w:t>As for Primary Vegetation-Light use</w:t>
            </w:r>
          </w:p>
        </w:tc>
        <w:tc>
          <w:tcPr>
            <w:tcW w:w="2911" w:type="dxa"/>
          </w:tcPr>
          <w:p w:rsidR="00625C68" w:rsidRDefault="00625C68" w:rsidP="009673AD">
            <w:r>
              <w:t>As for Primary Vegetation-Intense use</w:t>
            </w:r>
          </w:p>
        </w:tc>
      </w:tr>
      <w:tr w:rsidR="00625C68" w:rsidTr="009673AD">
        <w:trPr>
          <w:cantSplit/>
          <w:tblHeader/>
          <w:jc w:val="center"/>
        </w:trPr>
        <w:tc>
          <w:tcPr>
            <w:tcW w:w="1624" w:type="dxa"/>
            <w:vMerge/>
          </w:tcPr>
          <w:p w:rsidR="00625C68" w:rsidRPr="004F0CE0" w:rsidRDefault="00625C68" w:rsidP="009673AD">
            <w:pPr>
              <w:rPr>
                <w:b/>
              </w:rPr>
            </w:pP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 xml:space="preserve">Intermediate Secondary Vegetation </w:t>
            </w:r>
          </w:p>
        </w:tc>
        <w:tc>
          <w:tcPr>
            <w:tcW w:w="2305" w:type="dxa"/>
          </w:tcPr>
          <w:p w:rsidR="00625C68" w:rsidRDefault="00625C68" w:rsidP="009673AD">
            <w:r>
              <w:t>As for Primary Vegetation-Minimal use</w:t>
            </w:r>
          </w:p>
        </w:tc>
        <w:tc>
          <w:tcPr>
            <w:tcW w:w="3066" w:type="dxa"/>
          </w:tcPr>
          <w:p w:rsidR="00625C68" w:rsidRDefault="00625C68" w:rsidP="009673AD">
            <w:r>
              <w:t>As for Primary Vegetation-Light use</w:t>
            </w:r>
          </w:p>
        </w:tc>
        <w:tc>
          <w:tcPr>
            <w:tcW w:w="2911" w:type="dxa"/>
          </w:tcPr>
          <w:p w:rsidR="00625C68" w:rsidRDefault="00625C68" w:rsidP="009673AD">
            <w:r>
              <w:t>As for Primary Vegetation-Intense use</w:t>
            </w:r>
          </w:p>
        </w:tc>
      </w:tr>
      <w:tr w:rsidR="00625C68" w:rsidRPr="00B26BD9" w:rsidTr="009673AD">
        <w:trPr>
          <w:cantSplit/>
          <w:tblHeader/>
          <w:jc w:val="center"/>
        </w:trPr>
        <w:tc>
          <w:tcPr>
            <w:tcW w:w="1624" w:type="dxa"/>
            <w:vMerge/>
          </w:tcPr>
          <w:p w:rsidR="00625C68" w:rsidRPr="004F0CE0" w:rsidRDefault="00625C68" w:rsidP="009673AD">
            <w:pPr>
              <w:rPr>
                <w:b/>
              </w:rPr>
            </w:pP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Young Secondary Vegetation</w:t>
            </w:r>
          </w:p>
        </w:tc>
        <w:tc>
          <w:tcPr>
            <w:tcW w:w="2305" w:type="dxa"/>
          </w:tcPr>
          <w:p w:rsidR="00625C68" w:rsidRDefault="00625C68" w:rsidP="009673AD">
            <w:r>
              <w:t>As for Primary Vegetation-Minimal use</w:t>
            </w:r>
          </w:p>
        </w:tc>
        <w:tc>
          <w:tcPr>
            <w:tcW w:w="3066" w:type="dxa"/>
          </w:tcPr>
          <w:p w:rsidR="00625C68" w:rsidRDefault="00625C68" w:rsidP="009673AD">
            <w:r>
              <w:t>As for Primary Vegetation-Light use</w:t>
            </w:r>
          </w:p>
        </w:tc>
        <w:tc>
          <w:tcPr>
            <w:tcW w:w="2911" w:type="dxa"/>
          </w:tcPr>
          <w:p w:rsidR="00625C68" w:rsidRPr="00B26BD9" w:rsidRDefault="00625C68" w:rsidP="009673AD">
            <w:pPr>
              <w:rPr>
                <w:b/>
              </w:rPr>
            </w:pPr>
            <w:r>
              <w:t>As for Primary Vegetation-Intense use</w:t>
            </w:r>
          </w:p>
        </w:tc>
      </w:tr>
      <w:tr w:rsidR="00625C68" w:rsidRPr="00B26BD9" w:rsidTr="009673AD">
        <w:trPr>
          <w:cantSplit/>
          <w:tblHeader/>
          <w:jc w:val="center"/>
        </w:trPr>
        <w:tc>
          <w:tcPr>
            <w:tcW w:w="1624" w:type="dxa"/>
            <w:vMerge/>
          </w:tcPr>
          <w:p w:rsidR="00625C68" w:rsidRPr="004F0CE0" w:rsidRDefault="00625C68" w:rsidP="009673AD">
            <w:pPr>
              <w:rPr>
                <w:b/>
              </w:rPr>
            </w:pP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Secondary Vegetation (indeterminate age)</w:t>
            </w:r>
          </w:p>
        </w:tc>
        <w:tc>
          <w:tcPr>
            <w:tcW w:w="2305" w:type="dxa"/>
          </w:tcPr>
          <w:p w:rsidR="00625C68" w:rsidRDefault="00625C68" w:rsidP="009673AD">
            <w:r>
              <w:t>As for Primary Vegetation-Minimal use</w:t>
            </w:r>
          </w:p>
        </w:tc>
        <w:tc>
          <w:tcPr>
            <w:tcW w:w="3066" w:type="dxa"/>
          </w:tcPr>
          <w:p w:rsidR="00625C68" w:rsidRDefault="00625C68" w:rsidP="009673AD">
            <w:r>
              <w:t>As for Primary Vegetation-Light use</w:t>
            </w:r>
          </w:p>
        </w:tc>
        <w:tc>
          <w:tcPr>
            <w:tcW w:w="2911" w:type="dxa"/>
          </w:tcPr>
          <w:p w:rsidR="00625C68" w:rsidRPr="00B26BD9" w:rsidRDefault="00625C68" w:rsidP="009673AD">
            <w:pPr>
              <w:rPr>
                <w:b/>
              </w:rPr>
            </w:pPr>
            <w:r>
              <w:t>As for Primary Vegetation-Intense use</w:t>
            </w:r>
          </w:p>
        </w:tc>
      </w:tr>
      <w:tr w:rsidR="00625C68" w:rsidRPr="00247DC2" w:rsidTr="009673AD">
        <w:trPr>
          <w:cantSplit/>
          <w:trHeight w:val="3574"/>
          <w:tblHeader/>
          <w:jc w:val="center"/>
        </w:trPr>
        <w:tc>
          <w:tcPr>
            <w:tcW w:w="1624" w:type="dxa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t>Human use (agricultural)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Plantation forest</w:t>
            </w:r>
          </w:p>
        </w:tc>
        <w:tc>
          <w:tcPr>
            <w:tcW w:w="2305" w:type="dxa"/>
          </w:tcPr>
          <w:p w:rsidR="00625C68" w:rsidRDefault="00625C68" w:rsidP="009673AD">
            <w:r>
              <w:t xml:space="preserve">Extensively managed or mixed timber, fruit/coffee, oil-palm or rubber plantations in which native </w:t>
            </w:r>
            <w:proofErr w:type="spellStart"/>
            <w:r>
              <w:t>understorey</w:t>
            </w:r>
            <w:proofErr w:type="spellEnd"/>
            <w:r>
              <w:t xml:space="preserve"> and/or other native tree species are tolerated, which are not treated with pesticide or </w:t>
            </w:r>
            <w:proofErr w:type="spellStart"/>
            <w:r>
              <w:t>fertiliser</w:t>
            </w:r>
            <w:proofErr w:type="spellEnd"/>
            <w:r>
              <w:t>, and which have not been recently (&lt; 20 years) clear-felled.</w:t>
            </w:r>
          </w:p>
        </w:tc>
        <w:tc>
          <w:tcPr>
            <w:tcW w:w="3066" w:type="dxa"/>
          </w:tcPr>
          <w:p w:rsidR="00625C68" w:rsidRDefault="00625C68" w:rsidP="009673AD">
            <w:r>
              <w:t>Monoculture fruit/coffee/rubber plantations with limited pesticide input, or mixed species plantations with significant inputs. Monoculture timber plantations of mixed age with no recent (&lt; 20 years) clear-felling. Monoculture oil-palm plantations with no recent (&lt; 20 years) clear-felling.</w:t>
            </w:r>
          </w:p>
        </w:tc>
        <w:tc>
          <w:tcPr>
            <w:tcW w:w="2911" w:type="dxa"/>
          </w:tcPr>
          <w:p w:rsidR="00625C68" w:rsidRDefault="00625C68" w:rsidP="009673AD">
            <w:r>
              <w:t>Monoculture fruit/coffee/rubber plantations with significant pesticide input.</w:t>
            </w:r>
          </w:p>
          <w:p w:rsidR="00625C68" w:rsidRPr="00247DC2" w:rsidRDefault="00625C68" w:rsidP="009673AD">
            <w:r>
              <w:t>Monoculture timber plantations with similarly aged trees or timber/oil-palm plantations with extensive recent (&lt; 20 years) clear-felling.</w:t>
            </w:r>
          </w:p>
        </w:tc>
      </w:tr>
      <w:tr w:rsidR="00625C68" w:rsidTr="009673AD">
        <w:trPr>
          <w:cantSplit/>
          <w:tblHeader/>
          <w:jc w:val="center"/>
        </w:trPr>
        <w:tc>
          <w:tcPr>
            <w:tcW w:w="1624" w:type="dxa"/>
            <w:vMerge w:val="restart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lastRenderedPageBreak/>
              <w:t>Human use (agricultural)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Cropland</w:t>
            </w:r>
          </w:p>
        </w:tc>
        <w:tc>
          <w:tcPr>
            <w:tcW w:w="2305" w:type="dxa"/>
          </w:tcPr>
          <w:p w:rsidR="00625C68" w:rsidRDefault="00625C68" w:rsidP="009673AD">
            <w:r>
              <w:t xml:space="preserve">Low-intensity farms, typically with small fields, mixed crops, crop rotation, little or no inorganic </w:t>
            </w:r>
            <w:proofErr w:type="spellStart"/>
            <w:r>
              <w:t>fertiliser</w:t>
            </w:r>
            <w:proofErr w:type="spellEnd"/>
            <w:r>
              <w:t xml:space="preserve"> use, little or no pesticide use, little or no ploughing, little or no irrigation, little or no </w:t>
            </w:r>
            <w:proofErr w:type="spellStart"/>
            <w:r>
              <w:t>mechanisation</w:t>
            </w:r>
            <w:proofErr w:type="spellEnd"/>
            <w:r>
              <w:t>.</w:t>
            </w:r>
          </w:p>
        </w:tc>
        <w:tc>
          <w:tcPr>
            <w:tcW w:w="3066" w:type="dxa"/>
          </w:tcPr>
          <w:p w:rsidR="00625C68" w:rsidRDefault="00625C68" w:rsidP="009673AD">
            <w:r>
              <w:t xml:space="preserve">Medium intensity farming, typically showing some but not many of the following: large fields, annual ploughing, inorganic </w:t>
            </w:r>
            <w:proofErr w:type="spellStart"/>
            <w:r>
              <w:t>fertiliser</w:t>
            </w:r>
            <w:proofErr w:type="spellEnd"/>
            <w:r>
              <w:t xml:space="preserve"> application, pesticide application, irrigation, no crop rotation, </w:t>
            </w:r>
            <w:proofErr w:type="spellStart"/>
            <w:r>
              <w:t>mechanisation</w:t>
            </w:r>
            <w:proofErr w:type="spellEnd"/>
            <w:r>
              <w:t>, monoculture crop.  Organic farms in developed countries often fall within this category, as may high-intensity farming in developing countries.</w:t>
            </w:r>
          </w:p>
        </w:tc>
        <w:tc>
          <w:tcPr>
            <w:tcW w:w="2911" w:type="dxa"/>
          </w:tcPr>
          <w:p w:rsidR="00625C68" w:rsidRDefault="00625C68" w:rsidP="009673AD">
            <w:r>
              <w:t xml:space="preserve">High-intensity monoculture farming, typically showing many of the following features: large fields, annual ploughing, inorganic </w:t>
            </w:r>
            <w:proofErr w:type="spellStart"/>
            <w:r>
              <w:t>fertiliser</w:t>
            </w:r>
            <w:proofErr w:type="spellEnd"/>
            <w:r>
              <w:t xml:space="preserve"> application, pesticide application, irrigation, </w:t>
            </w:r>
            <w:proofErr w:type="spellStart"/>
            <w:r>
              <w:t>mechanisation</w:t>
            </w:r>
            <w:proofErr w:type="spellEnd"/>
            <w:r>
              <w:t>, no crop rotation.</w:t>
            </w:r>
          </w:p>
        </w:tc>
      </w:tr>
      <w:tr w:rsidR="00625C68" w:rsidRPr="009F491E" w:rsidTr="009673AD">
        <w:trPr>
          <w:cantSplit/>
          <w:tblHeader/>
          <w:jc w:val="center"/>
        </w:trPr>
        <w:tc>
          <w:tcPr>
            <w:tcW w:w="1624" w:type="dxa"/>
            <w:vMerge/>
          </w:tcPr>
          <w:p w:rsidR="00625C68" w:rsidRPr="004F0CE0" w:rsidRDefault="00625C68" w:rsidP="009673AD">
            <w:pPr>
              <w:rPr>
                <w:b/>
              </w:rPr>
            </w:pP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Pasture</w:t>
            </w:r>
          </w:p>
        </w:tc>
        <w:tc>
          <w:tcPr>
            <w:tcW w:w="2305" w:type="dxa"/>
          </w:tcPr>
          <w:p w:rsidR="00625C68" w:rsidRDefault="00625C68" w:rsidP="009673AD">
            <w:r>
              <w:t xml:space="preserve">Pasture with minimal input of </w:t>
            </w:r>
            <w:proofErr w:type="spellStart"/>
            <w:r>
              <w:t>fertiliser</w:t>
            </w:r>
            <w:proofErr w:type="spellEnd"/>
            <w:r>
              <w:t xml:space="preserve"> and pesticide, and with low stock density (</w:t>
            </w:r>
            <w:r w:rsidRPr="00093462">
              <w:rPr>
                <w:i/>
              </w:rPr>
              <w:t>not</w:t>
            </w:r>
            <w:r>
              <w:t xml:space="preserve"> high enough to cause significant disturbance or to stop regeneration of vegetation).</w:t>
            </w:r>
          </w:p>
        </w:tc>
        <w:tc>
          <w:tcPr>
            <w:tcW w:w="3066" w:type="dxa"/>
          </w:tcPr>
          <w:p w:rsidR="00625C68" w:rsidRDefault="00625C68" w:rsidP="009673AD">
            <w:r>
              <w:t xml:space="preserve">Pasture either with significant input of </w:t>
            </w:r>
            <w:proofErr w:type="spellStart"/>
            <w:r>
              <w:t>fertiliser</w:t>
            </w:r>
            <w:proofErr w:type="spellEnd"/>
            <w:r>
              <w:t xml:space="preserve"> or pesticide, or with high stock density (high enough to cause significant disturbance or to stop regeneration of vegetation).</w:t>
            </w:r>
          </w:p>
        </w:tc>
        <w:tc>
          <w:tcPr>
            <w:tcW w:w="2911" w:type="dxa"/>
          </w:tcPr>
          <w:p w:rsidR="00625C68" w:rsidRPr="009F491E" w:rsidRDefault="00625C68" w:rsidP="009673AD">
            <w:r>
              <w:t xml:space="preserve">Pasture with significant input of </w:t>
            </w:r>
            <w:proofErr w:type="spellStart"/>
            <w:r>
              <w:t>fertiliser</w:t>
            </w:r>
            <w:proofErr w:type="spellEnd"/>
            <w:r>
              <w:t xml:space="preserve"> or pesticide, </w:t>
            </w:r>
            <w:r>
              <w:rPr>
                <w:i/>
              </w:rPr>
              <w:t xml:space="preserve">and </w:t>
            </w:r>
            <w:r>
              <w:t>with high stock density (high enough to cause significant disturbance or to stop regeneration of vegetation).</w:t>
            </w:r>
          </w:p>
        </w:tc>
      </w:tr>
      <w:tr w:rsidR="00625C68" w:rsidTr="009673AD">
        <w:trPr>
          <w:cantSplit/>
          <w:tblHeader/>
          <w:jc w:val="center"/>
        </w:trPr>
        <w:tc>
          <w:tcPr>
            <w:tcW w:w="1624" w:type="dxa"/>
          </w:tcPr>
          <w:p w:rsidR="00625C68" w:rsidRPr="004F0CE0" w:rsidRDefault="00625C68" w:rsidP="009673AD">
            <w:pPr>
              <w:rPr>
                <w:b/>
              </w:rPr>
            </w:pPr>
            <w:r>
              <w:rPr>
                <w:b/>
              </w:rPr>
              <w:t>Human use (urban)</w:t>
            </w:r>
          </w:p>
        </w:tc>
        <w:tc>
          <w:tcPr>
            <w:tcW w:w="1736" w:type="dxa"/>
          </w:tcPr>
          <w:p w:rsidR="00625C68" w:rsidRPr="004F0CE0" w:rsidRDefault="00625C68" w:rsidP="009673AD">
            <w:pPr>
              <w:rPr>
                <w:b/>
              </w:rPr>
            </w:pPr>
            <w:r w:rsidRPr="004F0CE0">
              <w:rPr>
                <w:b/>
              </w:rPr>
              <w:t>Urban</w:t>
            </w:r>
          </w:p>
        </w:tc>
        <w:tc>
          <w:tcPr>
            <w:tcW w:w="2305" w:type="dxa"/>
          </w:tcPr>
          <w:p w:rsidR="00625C68" w:rsidRDefault="00625C68" w:rsidP="009673AD">
            <w:r>
              <w:t>Extensive managed green spaces; villages.</w:t>
            </w:r>
          </w:p>
        </w:tc>
        <w:tc>
          <w:tcPr>
            <w:tcW w:w="3066" w:type="dxa"/>
          </w:tcPr>
          <w:p w:rsidR="00625C68" w:rsidRDefault="00625C68" w:rsidP="009673AD">
            <w:r>
              <w:t>Suburban (e.g. gardens), or small managed or unmanaged green spaces in cities.</w:t>
            </w:r>
          </w:p>
        </w:tc>
        <w:tc>
          <w:tcPr>
            <w:tcW w:w="2911" w:type="dxa"/>
          </w:tcPr>
          <w:p w:rsidR="00625C68" w:rsidRDefault="00625C68" w:rsidP="009673AD">
            <w:r>
              <w:t>Fully urban with no significant green spaces.</w:t>
            </w:r>
          </w:p>
        </w:tc>
      </w:tr>
    </w:tbl>
    <w:p w:rsidR="005D7400" w:rsidRDefault="005D7400">
      <w:bookmarkStart w:id="0" w:name="_GoBack"/>
      <w:bookmarkEnd w:id="0"/>
    </w:p>
    <w:sectPr w:rsidR="005D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8"/>
    <w:rsid w:val="005D7400"/>
    <w:rsid w:val="006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D3B1-2A89-4157-81B6-CC86DC8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Newbold</dc:creator>
  <cp:keywords/>
  <dc:description/>
  <cp:lastModifiedBy>Tim Newbold</cp:lastModifiedBy>
  <cp:revision>1</cp:revision>
  <dcterms:created xsi:type="dcterms:W3CDTF">2018-09-20T15:45:00Z</dcterms:created>
  <dcterms:modified xsi:type="dcterms:W3CDTF">2018-09-20T15:46:00Z</dcterms:modified>
</cp:coreProperties>
</file>