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CE6FA" w14:textId="16FBD295" w:rsidR="00C660F0" w:rsidRPr="00434BAB" w:rsidRDefault="00C660F0" w:rsidP="006B331D">
      <w:pPr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434BAB">
        <w:rPr>
          <w:rFonts w:ascii="Arial" w:hAnsi="Arial" w:cs="Arial"/>
          <w:b/>
          <w:sz w:val="20"/>
          <w:szCs w:val="20"/>
        </w:rPr>
        <w:t>Selecting the power threshold for oscillatory events</w:t>
      </w:r>
    </w:p>
    <w:p w14:paraId="702935A6" w14:textId="50165125" w:rsidR="00B417C1" w:rsidRPr="00434BAB" w:rsidRDefault="00E71A83" w:rsidP="0016326C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434BAB">
        <w:rPr>
          <w:rFonts w:ascii="Arial" w:hAnsi="Arial" w:cs="Arial"/>
          <w:sz w:val="20"/>
          <w:szCs w:val="20"/>
        </w:rPr>
        <w:t>From the nature of time-frequency representations, when power is reduced, the time-frequency profile loses dominant peaks and instead more low power peaks are detected (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Pr="00434BAB">
        <w:rPr>
          <w:rFonts w:ascii="Arial" w:hAnsi="Arial" w:cs="Arial"/>
          <w:sz w:val="20"/>
          <w:szCs w:val="20"/>
        </w:rPr>
        <w:t xml:space="preserve"> S</w:t>
      </w:r>
      <w:r w:rsidR="0046180F" w:rsidRPr="00434BAB">
        <w:rPr>
          <w:rFonts w:ascii="Arial" w:hAnsi="Arial" w:cs="Arial"/>
          <w:sz w:val="20"/>
          <w:szCs w:val="20"/>
        </w:rPr>
        <w:t>3</w:t>
      </w:r>
      <w:r w:rsidRPr="00434BAB">
        <w:rPr>
          <w:rFonts w:ascii="Arial" w:hAnsi="Arial" w:cs="Arial"/>
          <w:sz w:val="20"/>
          <w:szCs w:val="20"/>
        </w:rPr>
        <w:t>A). This results in a negative correlation between the number of low power peaks in a given time interval and the total power of all events detected in the interval (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Pr="00434BAB">
        <w:rPr>
          <w:rFonts w:ascii="Arial" w:hAnsi="Arial" w:cs="Arial"/>
          <w:sz w:val="20"/>
          <w:szCs w:val="20"/>
        </w:rPr>
        <w:t xml:space="preserve"> S</w:t>
      </w:r>
      <w:r w:rsidR="0046180F" w:rsidRPr="00434BAB">
        <w:rPr>
          <w:rFonts w:ascii="Arial" w:hAnsi="Arial" w:cs="Arial"/>
          <w:sz w:val="20"/>
          <w:szCs w:val="20"/>
        </w:rPr>
        <w:t>3</w:t>
      </w:r>
      <w:r w:rsidRPr="00434BAB">
        <w:rPr>
          <w:rFonts w:ascii="Arial" w:hAnsi="Arial" w:cs="Arial"/>
          <w:sz w:val="20"/>
          <w:szCs w:val="20"/>
        </w:rPr>
        <w:t xml:space="preserve">B). To avoid this bias, we </w:t>
      </w:r>
      <w:r w:rsidR="00E42440" w:rsidRPr="00434BAB">
        <w:rPr>
          <w:rFonts w:ascii="Arial" w:hAnsi="Arial" w:cs="Arial"/>
          <w:sz w:val="20"/>
          <w:szCs w:val="20"/>
        </w:rPr>
        <w:t xml:space="preserve">identified </w:t>
      </w:r>
      <w:r w:rsidRPr="00434BAB">
        <w:rPr>
          <w:rFonts w:ascii="Arial" w:hAnsi="Arial" w:cs="Arial"/>
          <w:sz w:val="20"/>
          <w:szCs w:val="20"/>
        </w:rPr>
        <w:t>an optimal power threshold so that the number of oscillations per unit of time is not influenced by increased counting of low power events. Setting the power threshold to above 2 S.D. from the overall mean band power selects about 35% of all detected events. Setting the power threshold above 3 S.D. selects about 20% of all detected events (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Pr="00434BAB">
        <w:rPr>
          <w:rFonts w:ascii="Arial" w:hAnsi="Arial" w:cs="Arial"/>
          <w:sz w:val="20"/>
          <w:szCs w:val="20"/>
        </w:rPr>
        <w:t xml:space="preserve"> S</w:t>
      </w:r>
      <w:r w:rsidR="0046180F" w:rsidRPr="00434BAB">
        <w:rPr>
          <w:rFonts w:ascii="Arial" w:hAnsi="Arial" w:cs="Arial"/>
          <w:sz w:val="20"/>
          <w:szCs w:val="20"/>
        </w:rPr>
        <w:t>3</w:t>
      </w:r>
      <w:r w:rsidRPr="00434BAB">
        <w:rPr>
          <w:rFonts w:ascii="Arial" w:hAnsi="Arial" w:cs="Arial"/>
          <w:sz w:val="20"/>
          <w:szCs w:val="20"/>
        </w:rPr>
        <w:t xml:space="preserve">C). 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="008F3D6A" w:rsidRPr="00434BAB">
        <w:rPr>
          <w:rFonts w:ascii="Arial" w:hAnsi="Arial" w:cs="Arial"/>
          <w:sz w:val="20"/>
          <w:szCs w:val="20"/>
        </w:rPr>
        <w:t xml:space="preserve"> S</w:t>
      </w:r>
      <w:r w:rsidR="0046180F" w:rsidRPr="00434BAB">
        <w:rPr>
          <w:rFonts w:ascii="Arial" w:hAnsi="Arial" w:cs="Arial"/>
          <w:sz w:val="20"/>
          <w:szCs w:val="20"/>
        </w:rPr>
        <w:t>3</w:t>
      </w:r>
      <w:r w:rsidR="008F3D6A" w:rsidRPr="00434BAB">
        <w:rPr>
          <w:rFonts w:ascii="Arial" w:hAnsi="Arial" w:cs="Arial"/>
          <w:sz w:val="20"/>
          <w:szCs w:val="20"/>
        </w:rPr>
        <w:t>D</w:t>
      </w:r>
      <w:r w:rsidR="00B417C1" w:rsidRPr="00434BAB">
        <w:rPr>
          <w:rFonts w:ascii="Arial" w:hAnsi="Arial" w:cs="Arial"/>
          <w:sz w:val="20"/>
          <w:szCs w:val="20"/>
        </w:rPr>
        <w:t xml:space="preserve"> bottom</w:t>
      </w:r>
      <w:r w:rsidR="008F3D6A" w:rsidRPr="00434BAB">
        <w:rPr>
          <w:rFonts w:ascii="Arial" w:hAnsi="Arial" w:cs="Arial"/>
          <w:sz w:val="20"/>
          <w:szCs w:val="20"/>
        </w:rPr>
        <w:t xml:space="preserve"> shows </w:t>
      </w:r>
      <w:r w:rsidR="00B44184" w:rsidRPr="00434BAB">
        <w:rPr>
          <w:rFonts w:ascii="Arial" w:hAnsi="Arial" w:cs="Arial"/>
          <w:sz w:val="20"/>
          <w:szCs w:val="20"/>
        </w:rPr>
        <w:t xml:space="preserve">the </w:t>
      </w:r>
      <w:r w:rsidR="008F3D6A" w:rsidRPr="00434BAB">
        <w:rPr>
          <w:rFonts w:ascii="Arial" w:hAnsi="Arial" w:cs="Arial"/>
          <w:sz w:val="20"/>
          <w:szCs w:val="20"/>
        </w:rPr>
        <w:t xml:space="preserve">continuous relationship between power threshold applied to detected events in </w:t>
      </w:r>
      <w:r w:rsidR="00B44184" w:rsidRPr="00434BAB">
        <w:rPr>
          <w:rFonts w:ascii="Arial" w:hAnsi="Arial" w:cs="Arial"/>
          <w:sz w:val="20"/>
          <w:szCs w:val="20"/>
        </w:rPr>
        <w:t xml:space="preserve">the </w:t>
      </w:r>
      <w:r w:rsidR="008F3D6A" w:rsidRPr="00434BAB">
        <w:rPr>
          <w:rFonts w:ascii="Arial" w:hAnsi="Arial" w:cs="Arial"/>
          <w:sz w:val="20"/>
          <w:szCs w:val="20"/>
        </w:rPr>
        <w:t xml:space="preserve">30-60 Hz </w:t>
      </w:r>
      <w:r w:rsidR="00F73767" w:rsidRPr="00434BAB">
        <w:rPr>
          <w:rFonts w:ascii="Arial" w:hAnsi="Arial" w:cs="Arial"/>
          <w:sz w:val="20"/>
          <w:szCs w:val="20"/>
        </w:rPr>
        <w:t xml:space="preserve">slow </w:t>
      </w:r>
      <w:r w:rsidR="008F3D6A" w:rsidRPr="00434BAB">
        <w:rPr>
          <w:rFonts w:ascii="Arial" w:hAnsi="Arial" w:cs="Arial"/>
          <w:sz w:val="20"/>
          <w:szCs w:val="20"/>
        </w:rPr>
        <w:t xml:space="preserve">and </w:t>
      </w:r>
      <w:r w:rsidR="00F73767" w:rsidRPr="00434BAB">
        <w:rPr>
          <w:rFonts w:ascii="Arial" w:hAnsi="Arial" w:cs="Arial"/>
          <w:sz w:val="20"/>
          <w:szCs w:val="20"/>
        </w:rPr>
        <w:t xml:space="preserve">60-90 Hz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F73767" w:rsidRPr="00434BAB">
        <w:rPr>
          <w:rFonts w:ascii="Arial" w:hAnsi="Arial" w:cs="Arial"/>
          <w:sz w:val="20"/>
          <w:szCs w:val="20"/>
        </w:rPr>
        <w:t xml:space="preserve"> </w:t>
      </w:r>
      <w:r w:rsidR="008F3D6A" w:rsidRPr="00434BAB">
        <w:rPr>
          <w:rFonts w:ascii="Arial" w:hAnsi="Arial" w:cs="Arial"/>
          <w:sz w:val="20"/>
          <w:szCs w:val="20"/>
        </w:rPr>
        <w:t xml:space="preserve">gamma range and </w:t>
      </w:r>
      <w:r w:rsidR="00B417C1" w:rsidRPr="00434BAB">
        <w:rPr>
          <w:rFonts w:ascii="Arial" w:hAnsi="Arial" w:cs="Arial"/>
          <w:sz w:val="20"/>
          <w:szCs w:val="20"/>
        </w:rPr>
        <w:t xml:space="preserve">the ratio of theta cycles </w:t>
      </w:r>
      <w:r w:rsidR="00B52640" w:rsidRPr="00434BAB">
        <w:rPr>
          <w:rFonts w:ascii="Arial" w:hAnsi="Arial" w:cs="Arial"/>
          <w:sz w:val="20"/>
          <w:szCs w:val="20"/>
        </w:rPr>
        <w:t>classified</w:t>
      </w:r>
      <w:r w:rsidR="00B417C1" w:rsidRPr="00434BAB">
        <w:rPr>
          <w:rFonts w:ascii="Arial" w:hAnsi="Arial" w:cs="Arial"/>
          <w:sz w:val="20"/>
          <w:szCs w:val="20"/>
        </w:rPr>
        <w:t xml:space="preserve"> as having </w:t>
      </w:r>
      <w:r w:rsidR="00B44184" w:rsidRPr="00434BAB">
        <w:rPr>
          <w:rFonts w:ascii="Arial" w:hAnsi="Arial" w:cs="Arial"/>
          <w:sz w:val="20"/>
          <w:szCs w:val="20"/>
        </w:rPr>
        <w:t xml:space="preserve">a </w:t>
      </w:r>
      <w:r w:rsidR="00B417C1" w:rsidRPr="00434BAB">
        <w:rPr>
          <w:rFonts w:ascii="Arial" w:hAnsi="Arial" w:cs="Arial"/>
          <w:sz w:val="20"/>
          <w:szCs w:val="20"/>
        </w:rPr>
        <w:t xml:space="preserve">unique type of oscillation (slow or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="00B417C1" w:rsidRPr="00434BAB">
        <w:rPr>
          <w:rFonts w:ascii="Arial" w:hAnsi="Arial" w:cs="Arial"/>
          <w:sz w:val="20"/>
          <w:szCs w:val="20"/>
        </w:rPr>
        <w:t xml:space="preserve">gamma) and theta cycles classified as having both slow and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="00B417C1" w:rsidRPr="00434BAB">
        <w:rPr>
          <w:rFonts w:ascii="Arial" w:hAnsi="Arial" w:cs="Arial"/>
          <w:sz w:val="20"/>
          <w:szCs w:val="20"/>
        </w:rPr>
        <w:t>gamma</w:t>
      </w:r>
      <w:r w:rsidR="00E42440" w:rsidRPr="00434BAB">
        <w:rPr>
          <w:rFonts w:ascii="Arial" w:hAnsi="Arial" w:cs="Arial"/>
          <w:sz w:val="20"/>
          <w:szCs w:val="20"/>
        </w:rPr>
        <w:t xml:space="preserve"> oscillations</w:t>
      </w:r>
      <w:r w:rsidR="00B417C1" w:rsidRPr="00434BAB">
        <w:rPr>
          <w:rFonts w:ascii="Arial" w:hAnsi="Arial" w:cs="Arial"/>
          <w:sz w:val="20"/>
          <w:szCs w:val="20"/>
        </w:rPr>
        <w:t>. We only included</w:t>
      </w:r>
      <w:r w:rsidR="008F3D6A" w:rsidRPr="00434BAB">
        <w:rPr>
          <w:rFonts w:ascii="Arial" w:hAnsi="Arial" w:cs="Arial"/>
          <w:sz w:val="20"/>
          <w:szCs w:val="20"/>
        </w:rPr>
        <w:t xml:space="preserve"> </w:t>
      </w:r>
      <w:r w:rsidR="00005783" w:rsidRPr="00434BAB">
        <w:rPr>
          <w:rFonts w:ascii="Arial" w:hAnsi="Arial" w:cs="Arial"/>
          <w:sz w:val="20"/>
          <w:szCs w:val="20"/>
        </w:rPr>
        <w:t xml:space="preserve">periods when </w:t>
      </w:r>
      <w:r w:rsidR="00B44184" w:rsidRPr="00434BAB">
        <w:rPr>
          <w:rFonts w:ascii="Arial" w:hAnsi="Arial" w:cs="Arial"/>
          <w:sz w:val="20"/>
          <w:szCs w:val="20"/>
        </w:rPr>
        <w:t xml:space="preserve">the mouse </w:t>
      </w:r>
      <w:r w:rsidR="00005783" w:rsidRPr="00434BAB">
        <w:rPr>
          <w:rFonts w:ascii="Arial" w:hAnsi="Arial" w:cs="Arial"/>
          <w:sz w:val="20"/>
          <w:szCs w:val="20"/>
        </w:rPr>
        <w:t xml:space="preserve">was </w:t>
      </w:r>
      <w:r w:rsidR="008F3D6A" w:rsidRPr="00434BAB">
        <w:rPr>
          <w:rFonts w:ascii="Arial" w:hAnsi="Arial" w:cs="Arial"/>
          <w:sz w:val="20"/>
          <w:szCs w:val="20"/>
        </w:rPr>
        <w:t xml:space="preserve">running (speed </w:t>
      </w:r>
      <w:r w:rsidR="00635565" w:rsidRPr="00D563F7">
        <w:rPr>
          <w:rFonts w:ascii="Arial" w:eastAsia="ＭＳ ゴシック" w:hAnsi="Arial" w:cs="Arial"/>
          <w:color w:val="000000"/>
          <w:sz w:val="20"/>
          <w:szCs w:val="20"/>
        </w:rPr>
        <w:t>≥</w:t>
      </w:r>
      <w:r w:rsidR="008F3D6A" w:rsidRPr="00434BAB">
        <w:rPr>
          <w:rFonts w:ascii="Arial" w:hAnsi="Arial" w:cs="Arial"/>
          <w:sz w:val="20"/>
          <w:szCs w:val="20"/>
        </w:rPr>
        <w:t xml:space="preserve"> </w:t>
      </w:r>
      <w:r w:rsidR="0046180F" w:rsidRPr="00434BAB">
        <w:rPr>
          <w:rFonts w:ascii="Arial" w:hAnsi="Arial" w:cs="Arial"/>
          <w:sz w:val="20"/>
          <w:szCs w:val="20"/>
        </w:rPr>
        <w:t xml:space="preserve">2 </w:t>
      </w:r>
      <w:r w:rsidR="008F3D6A" w:rsidRPr="00434BAB">
        <w:rPr>
          <w:rFonts w:ascii="Arial" w:hAnsi="Arial" w:cs="Arial"/>
          <w:sz w:val="20"/>
          <w:szCs w:val="20"/>
        </w:rPr>
        <w:t>cm/s</w:t>
      </w:r>
      <w:r w:rsidR="00B417C1" w:rsidRPr="00434BAB">
        <w:rPr>
          <w:rFonts w:ascii="Arial" w:hAnsi="Arial" w:cs="Arial"/>
          <w:sz w:val="20"/>
          <w:szCs w:val="20"/>
        </w:rPr>
        <w:t>) and</w:t>
      </w:r>
      <w:r w:rsidR="008F3D6A" w:rsidRPr="00434BAB">
        <w:rPr>
          <w:rFonts w:ascii="Arial" w:hAnsi="Arial" w:cs="Arial"/>
          <w:sz w:val="20"/>
          <w:szCs w:val="20"/>
        </w:rPr>
        <w:t xml:space="preserve"> </w:t>
      </w:r>
      <w:r w:rsidR="00005783" w:rsidRPr="00434BAB">
        <w:rPr>
          <w:rFonts w:ascii="Arial" w:hAnsi="Arial" w:cs="Arial"/>
          <w:sz w:val="20"/>
          <w:szCs w:val="20"/>
        </w:rPr>
        <w:t xml:space="preserve">only </w:t>
      </w:r>
      <w:r w:rsidR="00B417C1" w:rsidRPr="00434BAB">
        <w:rPr>
          <w:rFonts w:ascii="Arial" w:hAnsi="Arial" w:cs="Arial"/>
          <w:sz w:val="20"/>
          <w:szCs w:val="20"/>
        </w:rPr>
        <w:t xml:space="preserve">included </w:t>
      </w:r>
      <w:r w:rsidR="008F3D6A" w:rsidRPr="00434BAB">
        <w:rPr>
          <w:rFonts w:ascii="Arial" w:hAnsi="Arial" w:cs="Arial"/>
          <w:sz w:val="20"/>
          <w:szCs w:val="20"/>
        </w:rPr>
        <w:t xml:space="preserve">theta </w:t>
      </w:r>
      <w:r w:rsidR="00005783" w:rsidRPr="00434BAB">
        <w:rPr>
          <w:rFonts w:ascii="Arial" w:hAnsi="Arial" w:cs="Arial"/>
          <w:sz w:val="20"/>
          <w:szCs w:val="20"/>
        </w:rPr>
        <w:t>cycles</w:t>
      </w:r>
      <w:r w:rsidR="008F3D6A" w:rsidRPr="00434BAB">
        <w:rPr>
          <w:rFonts w:ascii="Arial" w:hAnsi="Arial" w:cs="Arial"/>
          <w:sz w:val="20"/>
          <w:szCs w:val="20"/>
        </w:rPr>
        <w:t xml:space="preserve"> </w:t>
      </w:r>
      <w:r w:rsidR="0051347D" w:rsidRPr="00434BAB">
        <w:rPr>
          <w:rFonts w:ascii="Arial" w:hAnsi="Arial" w:cs="Arial"/>
          <w:sz w:val="20"/>
          <w:szCs w:val="20"/>
        </w:rPr>
        <w:t xml:space="preserve">with periods </w:t>
      </w:r>
      <w:r w:rsidR="008F3D6A" w:rsidRPr="00434BAB">
        <w:rPr>
          <w:rFonts w:ascii="Arial" w:hAnsi="Arial" w:cs="Arial"/>
          <w:sz w:val="20"/>
          <w:szCs w:val="20"/>
        </w:rPr>
        <w:t xml:space="preserve">between </w:t>
      </w:r>
      <w:r w:rsidR="0051347D" w:rsidRPr="00434BAB">
        <w:rPr>
          <w:rFonts w:ascii="Arial" w:hAnsi="Arial" w:cs="Arial"/>
          <w:sz w:val="20"/>
          <w:szCs w:val="20"/>
        </w:rPr>
        <w:t xml:space="preserve">83 </w:t>
      </w:r>
      <w:r w:rsidR="008F3D6A" w:rsidRPr="00434BAB">
        <w:rPr>
          <w:rFonts w:ascii="Arial" w:hAnsi="Arial" w:cs="Arial"/>
          <w:sz w:val="20"/>
          <w:szCs w:val="20"/>
        </w:rPr>
        <w:t xml:space="preserve">and </w:t>
      </w:r>
      <w:r w:rsidR="0051347D" w:rsidRPr="00434BAB">
        <w:rPr>
          <w:rFonts w:ascii="Arial" w:hAnsi="Arial" w:cs="Arial"/>
          <w:sz w:val="20"/>
          <w:szCs w:val="20"/>
        </w:rPr>
        <w:t xml:space="preserve">250 </w:t>
      </w:r>
      <w:r w:rsidR="008F3D6A" w:rsidRPr="00434BAB">
        <w:rPr>
          <w:rFonts w:ascii="Arial" w:hAnsi="Arial" w:cs="Arial"/>
          <w:sz w:val="20"/>
          <w:szCs w:val="20"/>
        </w:rPr>
        <w:t>ms</w:t>
      </w:r>
      <w:r w:rsidR="0051347D" w:rsidRPr="00434BAB">
        <w:rPr>
          <w:rFonts w:ascii="Arial" w:hAnsi="Arial" w:cs="Arial"/>
          <w:sz w:val="20"/>
          <w:szCs w:val="20"/>
        </w:rPr>
        <w:t xml:space="preserve"> corresponding to frequencies between 4 and 12 Hz</w:t>
      </w:r>
      <w:r w:rsidR="00B417C1" w:rsidRPr="00434BAB">
        <w:rPr>
          <w:rFonts w:ascii="Arial" w:hAnsi="Arial" w:cs="Arial"/>
          <w:sz w:val="20"/>
          <w:szCs w:val="20"/>
        </w:rPr>
        <w:t xml:space="preserve">. 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Predictably, low power thresholds lead to high number</w:t>
      </w:r>
      <w:r w:rsidR="00E42440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detected events but </w:t>
      </w:r>
      <w:r w:rsidR="001351E8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low ratio of single type</w:t>
      </w:r>
      <w:r w:rsidR="001351E8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event (slow or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gamma) present in a given theta cycle (</w:t>
      </w:r>
      <w:r w:rsidR="00313A0B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Fig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</w:t>
      </w:r>
      <w:r w:rsidR="00BB123B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</w:t>
      </w:r>
      <w:r w:rsidR="00DE4E6B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 top, left; </w:t>
      </w:r>
      <w:r w:rsidR="00DE4E6B" w:rsidRPr="00434BAB">
        <w:rPr>
          <w:rFonts w:ascii="Arial" w:hAnsi="Arial" w:cs="Arial"/>
          <w:sz w:val="20"/>
          <w:szCs w:val="20"/>
        </w:rPr>
        <w:t xml:space="preserve">theta cycles only with slow gamma ‘S’,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="00DE4E6B" w:rsidRPr="00434BAB">
        <w:rPr>
          <w:rFonts w:ascii="Arial" w:hAnsi="Arial" w:cs="Arial"/>
          <w:sz w:val="20"/>
          <w:szCs w:val="20"/>
        </w:rPr>
        <w:t>gamma ‘</w:t>
      </w:r>
      <w:r w:rsidR="00BB123B" w:rsidRPr="00434BAB">
        <w:rPr>
          <w:rFonts w:ascii="Arial" w:hAnsi="Arial" w:cs="Arial"/>
          <w:sz w:val="20"/>
          <w:szCs w:val="20"/>
        </w:rPr>
        <w:t>M</w:t>
      </w:r>
      <w:r w:rsidR="00DE4E6B" w:rsidRPr="00434BAB">
        <w:rPr>
          <w:rFonts w:ascii="Arial" w:hAnsi="Arial" w:cs="Arial"/>
          <w:sz w:val="20"/>
          <w:szCs w:val="20"/>
        </w:rPr>
        <w:t xml:space="preserve">’, mixture of slow and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="00DE4E6B" w:rsidRPr="00434BAB">
        <w:rPr>
          <w:rFonts w:ascii="Arial" w:hAnsi="Arial" w:cs="Arial"/>
          <w:sz w:val="20"/>
          <w:szCs w:val="20"/>
        </w:rPr>
        <w:t>gamma ‘S/</w:t>
      </w:r>
      <w:r w:rsidR="00BB123B" w:rsidRPr="00434BAB">
        <w:rPr>
          <w:rFonts w:ascii="Arial" w:hAnsi="Arial" w:cs="Arial"/>
          <w:sz w:val="20"/>
          <w:szCs w:val="20"/>
        </w:rPr>
        <w:t>M</w:t>
      </w:r>
      <w:r w:rsidR="00DE4E6B" w:rsidRPr="00434BAB">
        <w:rPr>
          <w:rFonts w:ascii="Arial" w:hAnsi="Arial" w:cs="Arial"/>
          <w:sz w:val="20"/>
          <w:szCs w:val="20"/>
        </w:rPr>
        <w:t>’ and no detected oscillations ‘</w:t>
      </w:r>
      <w:r w:rsidR="00BB123B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Ø</w:t>
      </w:r>
      <w:r w:rsidR="00DE4E6B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’)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1351E8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 contrast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high power thresholds lead to </w:t>
      </w:r>
      <w:r w:rsidR="001351E8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low number of detected events </w:t>
      </w:r>
      <w:r w:rsidR="00294B5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 </w:t>
      </w:r>
      <w:r w:rsidR="001351E8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high </w:t>
      </w:r>
      <w:r w:rsidR="00294B5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prevalence</w:t>
      </w:r>
      <w:r w:rsidR="001351E8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17D09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of sing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 </w:t>
      </w:r>
      <w:r w:rsidR="001351E8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gamma</w:t>
      </w:r>
      <w:r w:rsidR="00E42440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type theta cycle</w:t>
      </w:r>
      <w:r w:rsidR="001351E8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313A0B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Fig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</w:t>
      </w:r>
      <w:r w:rsidR="00BB123B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</w:t>
      </w:r>
      <w:r w:rsidR="002B081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 top, right). </w:t>
      </w:r>
    </w:p>
    <w:p w14:paraId="21FB567C" w14:textId="77777777" w:rsidR="00B417C1" w:rsidRPr="00434BAB" w:rsidRDefault="00B417C1" w:rsidP="0016326C">
      <w:pPr>
        <w:spacing w:line="48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3F5971D" w14:textId="5854552F" w:rsidR="00A55160" w:rsidRPr="00434BAB" w:rsidRDefault="002B0813" w:rsidP="0016326C">
      <w:pPr>
        <w:spacing w:line="48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Because of the continuous relationship between power threshold and the ability to classify </w:t>
      </w:r>
      <w:r w:rsidR="00294B5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</w:t>
      </w:r>
      <w:r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theta cycle as one with </w:t>
      </w:r>
      <w:r w:rsidR="00493444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just </w:t>
      </w:r>
      <w:r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slow or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gamma, we u</w:t>
      </w:r>
      <w:r w:rsidR="00294B5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ed </w:t>
      </w:r>
      <w:r w:rsidR="00294B53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ratio of slow to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gamma events per time period throughout </w:t>
      </w:r>
      <w:r w:rsidR="00493444"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 report</w:t>
      </w:r>
      <w:r w:rsidRPr="00434BA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26EE5EB6" w14:textId="77777777" w:rsidR="00C660F0" w:rsidRPr="00434BAB" w:rsidRDefault="00C660F0" w:rsidP="0016326C">
      <w:pPr>
        <w:spacing w:line="480" w:lineRule="auto"/>
        <w:rPr>
          <w:rFonts w:ascii="Arial" w:hAnsi="Arial" w:cs="Arial"/>
          <w:sz w:val="20"/>
          <w:szCs w:val="20"/>
        </w:rPr>
      </w:pPr>
    </w:p>
    <w:p w14:paraId="10046A43" w14:textId="3A4652A2" w:rsidR="00C660F0" w:rsidRPr="00434BAB" w:rsidRDefault="00C660F0" w:rsidP="0016326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434BAB">
        <w:rPr>
          <w:rFonts w:ascii="Arial" w:hAnsi="Arial" w:cs="Arial"/>
          <w:b/>
          <w:sz w:val="20"/>
          <w:szCs w:val="20"/>
        </w:rPr>
        <w:t xml:space="preserve">Identifying </w:t>
      </w:r>
      <w:r w:rsidR="00547112" w:rsidRPr="00434BAB">
        <w:rPr>
          <w:rFonts w:ascii="Arial" w:hAnsi="Arial" w:cs="Arial"/>
          <w:b/>
          <w:sz w:val="20"/>
          <w:szCs w:val="20"/>
        </w:rPr>
        <w:t xml:space="preserve">a </w:t>
      </w:r>
      <w:r w:rsidR="00A55160" w:rsidRPr="00434BAB">
        <w:rPr>
          <w:rFonts w:ascii="Arial" w:hAnsi="Arial" w:cs="Arial"/>
          <w:b/>
          <w:sz w:val="20"/>
          <w:szCs w:val="20"/>
        </w:rPr>
        <w:t xml:space="preserve">power threshold and </w:t>
      </w:r>
      <w:r w:rsidRPr="00434BAB">
        <w:rPr>
          <w:rFonts w:ascii="Arial" w:hAnsi="Arial" w:cs="Arial"/>
          <w:b/>
          <w:sz w:val="20"/>
          <w:szCs w:val="20"/>
        </w:rPr>
        <w:t>frequency bands of interest</w:t>
      </w:r>
      <w:r w:rsidR="00A55160" w:rsidRPr="00434BAB">
        <w:rPr>
          <w:rFonts w:ascii="Arial" w:hAnsi="Arial" w:cs="Arial"/>
          <w:b/>
          <w:sz w:val="20"/>
          <w:szCs w:val="20"/>
        </w:rPr>
        <w:t xml:space="preserve"> for slow and </w:t>
      </w:r>
      <w:r w:rsidR="009058EA">
        <w:rPr>
          <w:rFonts w:ascii="Arial" w:hAnsi="Arial" w:cs="Arial"/>
          <w:b/>
          <w:sz w:val="20"/>
          <w:szCs w:val="20"/>
        </w:rPr>
        <w:t>mid-frequency</w:t>
      </w:r>
      <w:bookmarkStart w:id="0" w:name="_GoBack"/>
      <w:bookmarkEnd w:id="0"/>
      <w:r w:rsidR="00A55160" w:rsidRPr="00434BAB">
        <w:rPr>
          <w:rFonts w:ascii="Arial" w:hAnsi="Arial" w:cs="Arial"/>
          <w:b/>
          <w:sz w:val="20"/>
          <w:szCs w:val="20"/>
        </w:rPr>
        <w:t xml:space="preserve"> gamma event rates. </w:t>
      </w:r>
    </w:p>
    <w:p w14:paraId="7776C55A" w14:textId="77AF1376" w:rsidR="00A55160" w:rsidRPr="00434BAB" w:rsidRDefault="00C660F0" w:rsidP="00A55160">
      <w:pPr>
        <w:spacing w:line="480" w:lineRule="auto"/>
        <w:rPr>
          <w:rFonts w:ascii="Arial" w:hAnsi="Arial" w:cs="Arial"/>
          <w:sz w:val="20"/>
          <w:szCs w:val="20"/>
        </w:rPr>
      </w:pPr>
      <w:r w:rsidRPr="00434BAB">
        <w:rPr>
          <w:rFonts w:ascii="Arial" w:hAnsi="Arial" w:cs="Arial"/>
          <w:sz w:val="20"/>
          <w:szCs w:val="20"/>
        </w:rPr>
        <w:t xml:space="preserve">To investigate the apparent asymmetry in the relative declines of slow and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Pr="00434BAB">
        <w:rPr>
          <w:rFonts w:ascii="Arial" w:hAnsi="Arial" w:cs="Arial"/>
          <w:sz w:val="20"/>
          <w:szCs w:val="20"/>
        </w:rPr>
        <w:t xml:space="preserve">gamma events that was observed </w:t>
      </w:r>
      <w:r w:rsidR="00F254E9" w:rsidRPr="00434BAB">
        <w:rPr>
          <w:rFonts w:ascii="Arial" w:hAnsi="Arial" w:cs="Arial"/>
          <w:sz w:val="20"/>
          <w:szCs w:val="20"/>
        </w:rPr>
        <w:t xml:space="preserve">in the wavelet spectrum </w:t>
      </w:r>
      <w:r w:rsidRPr="00434BAB">
        <w:rPr>
          <w:rFonts w:ascii="Arial" w:hAnsi="Arial" w:cs="Arial"/>
          <w:sz w:val="20"/>
          <w:szCs w:val="20"/>
        </w:rPr>
        <w:t>prior to avoidance</w:t>
      </w:r>
      <w:r w:rsidR="00F254E9" w:rsidRPr="00434BAB">
        <w:rPr>
          <w:rFonts w:ascii="Arial" w:hAnsi="Arial" w:cs="Arial"/>
          <w:sz w:val="20"/>
          <w:szCs w:val="20"/>
        </w:rPr>
        <w:t xml:space="preserve"> (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="00F254E9" w:rsidRPr="00434BAB">
        <w:rPr>
          <w:rFonts w:ascii="Arial" w:hAnsi="Arial" w:cs="Arial"/>
          <w:sz w:val="20"/>
          <w:szCs w:val="20"/>
        </w:rPr>
        <w:t xml:space="preserve"> 1</w:t>
      </w:r>
      <w:r w:rsidR="00815063" w:rsidRPr="00434BAB">
        <w:rPr>
          <w:rFonts w:ascii="Arial" w:hAnsi="Arial" w:cs="Arial"/>
          <w:sz w:val="20"/>
          <w:szCs w:val="20"/>
        </w:rPr>
        <w:t>E</w:t>
      </w:r>
      <w:r w:rsidR="00F254E9" w:rsidRPr="00434BAB">
        <w:rPr>
          <w:rFonts w:ascii="Arial" w:hAnsi="Arial" w:cs="Arial"/>
          <w:sz w:val="20"/>
          <w:szCs w:val="20"/>
        </w:rPr>
        <w:t xml:space="preserve"> in the main text)</w:t>
      </w:r>
      <w:r w:rsidRPr="00434BAB">
        <w:rPr>
          <w:rFonts w:ascii="Arial" w:hAnsi="Arial" w:cs="Arial"/>
          <w:sz w:val="20"/>
          <w:szCs w:val="20"/>
        </w:rPr>
        <w:t xml:space="preserve">, we first identified </w:t>
      </w:r>
      <w:r w:rsidRPr="00434BAB">
        <w:rPr>
          <w:rFonts w:ascii="Arial" w:hAnsi="Arial" w:cs="Arial"/>
          <w:sz w:val="20"/>
          <w:szCs w:val="20"/>
        </w:rPr>
        <w:lastRenderedPageBreak/>
        <w:t>the specific frequency bands of interest (</w:t>
      </w:r>
      <w:r w:rsidR="00313A0B" w:rsidRPr="00434BAB">
        <w:rPr>
          <w:rFonts w:ascii="Arial" w:hAnsi="Arial" w:cs="Arial"/>
          <w:sz w:val="20"/>
          <w:szCs w:val="20"/>
        </w:rPr>
        <w:t>Fig</w:t>
      </w:r>
      <w:r w:rsidRPr="00434BAB">
        <w:rPr>
          <w:rFonts w:ascii="Arial" w:hAnsi="Arial" w:cs="Arial"/>
          <w:sz w:val="20"/>
          <w:szCs w:val="20"/>
        </w:rPr>
        <w:t xml:space="preserve"> </w:t>
      </w:r>
      <w:r w:rsidR="005022CA" w:rsidRPr="00434BAB">
        <w:rPr>
          <w:rFonts w:ascii="Arial" w:hAnsi="Arial" w:cs="Arial"/>
          <w:sz w:val="20"/>
          <w:szCs w:val="20"/>
        </w:rPr>
        <w:t>S3E</w:t>
      </w:r>
      <w:r w:rsidRPr="00434BAB">
        <w:rPr>
          <w:rFonts w:ascii="Arial" w:hAnsi="Arial" w:cs="Arial"/>
          <w:sz w:val="20"/>
          <w:szCs w:val="20"/>
        </w:rPr>
        <w:t xml:space="preserve">). We computed the rate of oscillatory events in 1-s long </w:t>
      </w:r>
      <w:r w:rsidR="00547112" w:rsidRPr="00434BAB">
        <w:rPr>
          <w:rFonts w:ascii="Arial" w:hAnsi="Arial" w:cs="Arial"/>
          <w:sz w:val="20"/>
          <w:szCs w:val="20"/>
        </w:rPr>
        <w:t xml:space="preserve">intervals </w:t>
      </w:r>
      <w:r w:rsidRPr="00434BAB">
        <w:rPr>
          <w:rFonts w:ascii="Arial" w:hAnsi="Arial" w:cs="Arial"/>
          <w:sz w:val="20"/>
          <w:szCs w:val="20"/>
        </w:rPr>
        <w:t xml:space="preserve">that advanced by 250 ms. The event rates around the avoidance onset were averaged across 20 Hz-wide bands between 20 and 110 Hz </w:t>
      </w:r>
      <w:r w:rsidR="005022CA" w:rsidRPr="00434BAB">
        <w:rPr>
          <w:rFonts w:ascii="Arial" w:hAnsi="Arial" w:cs="Arial"/>
          <w:sz w:val="20"/>
          <w:szCs w:val="20"/>
        </w:rPr>
        <w:t>and for power thresholds z</w:t>
      </w:r>
      <w:r w:rsidR="00D57E8E" w:rsidRPr="00434BAB">
        <w:rPr>
          <w:rFonts w:ascii="Arial" w:hAnsi="Arial" w:cs="Arial"/>
          <w:sz w:val="20"/>
          <w:szCs w:val="20"/>
        </w:rPr>
        <w:t xml:space="preserve"> ≥ </w:t>
      </w:r>
      <w:r w:rsidR="005022CA" w:rsidRPr="00434BAB">
        <w:rPr>
          <w:rFonts w:ascii="Arial" w:hAnsi="Arial" w:cs="Arial"/>
          <w:sz w:val="20"/>
          <w:szCs w:val="20"/>
        </w:rPr>
        <w:t>1, 2, 2.5 an</w:t>
      </w:r>
      <w:r w:rsidR="00547112" w:rsidRPr="00434BAB">
        <w:rPr>
          <w:rFonts w:ascii="Arial" w:hAnsi="Arial" w:cs="Arial"/>
          <w:sz w:val="20"/>
          <w:szCs w:val="20"/>
        </w:rPr>
        <w:t>d</w:t>
      </w:r>
      <w:r w:rsidR="005022CA" w:rsidRPr="00434BAB">
        <w:rPr>
          <w:rFonts w:ascii="Arial" w:hAnsi="Arial" w:cs="Arial"/>
          <w:sz w:val="20"/>
          <w:szCs w:val="20"/>
        </w:rPr>
        <w:t xml:space="preserve"> 3 during </w:t>
      </w:r>
      <w:r w:rsidR="00547112" w:rsidRPr="00434BAB">
        <w:rPr>
          <w:rFonts w:ascii="Arial" w:hAnsi="Arial" w:cs="Arial"/>
          <w:sz w:val="20"/>
          <w:szCs w:val="20"/>
        </w:rPr>
        <w:t xml:space="preserve">the </w:t>
      </w:r>
      <w:r w:rsidR="005022CA" w:rsidRPr="00434BAB">
        <w:rPr>
          <w:rFonts w:ascii="Arial" w:hAnsi="Arial" w:cs="Arial"/>
          <w:sz w:val="20"/>
          <w:szCs w:val="20"/>
        </w:rPr>
        <w:t xml:space="preserve">third training </w:t>
      </w:r>
      <w:r w:rsidRPr="00434BAB">
        <w:rPr>
          <w:rFonts w:ascii="Arial" w:hAnsi="Arial" w:cs="Arial"/>
          <w:sz w:val="20"/>
          <w:szCs w:val="20"/>
        </w:rPr>
        <w:t xml:space="preserve">session. We then compared these profiles across all bands to look for similarities. The 20-40 Hz band followed similar patterns of activity as the other two slow gamma bands (30-50 Hz and 40-60 Hz), but its </w:t>
      </w:r>
      <w:r w:rsidR="00547112" w:rsidRPr="00434BAB">
        <w:rPr>
          <w:rFonts w:ascii="Arial" w:hAnsi="Arial" w:cs="Arial"/>
          <w:sz w:val="20"/>
          <w:szCs w:val="20"/>
        </w:rPr>
        <w:t xml:space="preserve">average </w:t>
      </w:r>
      <w:r w:rsidRPr="00434BAB">
        <w:rPr>
          <w:rFonts w:ascii="Arial" w:hAnsi="Arial" w:cs="Arial"/>
          <w:sz w:val="20"/>
          <w:szCs w:val="20"/>
        </w:rPr>
        <w:t xml:space="preserve">event rates were generally low so we excluded this band from further analysis. The 30-50 Hz and 40-60 Hz slow gamma bands were distinct from bands in the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Pr="00434BAB">
        <w:rPr>
          <w:rFonts w:ascii="Arial" w:hAnsi="Arial" w:cs="Arial"/>
          <w:sz w:val="20"/>
          <w:szCs w:val="20"/>
        </w:rPr>
        <w:t>gamma range (60-110 Hz)</w:t>
      </w:r>
      <w:r w:rsidR="005022CA" w:rsidRPr="00434BAB">
        <w:rPr>
          <w:rFonts w:ascii="Arial" w:hAnsi="Arial" w:cs="Arial"/>
          <w:sz w:val="20"/>
          <w:szCs w:val="20"/>
        </w:rPr>
        <w:t xml:space="preserve"> for power thresholds above </w:t>
      </w:r>
      <w:r w:rsidR="00D57E8E" w:rsidRPr="00434BAB">
        <w:rPr>
          <w:rFonts w:ascii="Arial" w:hAnsi="Arial" w:cs="Arial"/>
          <w:sz w:val="20"/>
          <w:szCs w:val="20"/>
        </w:rPr>
        <w:t xml:space="preserve">z ≥ </w:t>
      </w:r>
      <w:r w:rsidR="005022CA" w:rsidRPr="00434BAB">
        <w:rPr>
          <w:rFonts w:ascii="Arial" w:hAnsi="Arial" w:cs="Arial"/>
          <w:sz w:val="20"/>
          <w:szCs w:val="20"/>
        </w:rPr>
        <w:t>1</w:t>
      </w:r>
      <w:r w:rsidRPr="00434BAB">
        <w:rPr>
          <w:rFonts w:ascii="Arial" w:hAnsi="Arial" w:cs="Arial"/>
          <w:sz w:val="20"/>
          <w:szCs w:val="20"/>
        </w:rPr>
        <w:t>, because the attenuation of slow gamma was reduced prior to avoidance</w:t>
      </w:r>
      <w:r w:rsidR="00BB6CEB" w:rsidRPr="00434BAB">
        <w:rPr>
          <w:rFonts w:ascii="Arial" w:hAnsi="Arial" w:cs="Arial"/>
          <w:sz w:val="20"/>
          <w:szCs w:val="20"/>
        </w:rPr>
        <w:t xml:space="preserve"> onset</w:t>
      </w:r>
      <w:r w:rsidRPr="00434BAB">
        <w:rPr>
          <w:rFonts w:ascii="Arial" w:hAnsi="Arial" w:cs="Arial"/>
          <w:sz w:val="20"/>
          <w:szCs w:val="20"/>
        </w:rPr>
        <w:t xml:space="preserve">, in fact, there were peaks of increased slow gamma rates 2-4 s before the avoidance initiated and there was an earlier increase of the slow gamma event rate at avoidance onset compared to a delayed increase in the rate of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Pr="00434BAB">
        <w:rPr>
          <w:rFonts w:ascii="Arial" w:hAnsi="Arial" w:cs="Arial"/>
          <w:sz w:val="20"/>
          <w:szCs w:val="20"/>
        </w:rPr>
        <w:t xml:space="preserve">gamma events. We selected the 30-50 Hz band to represent slow gamma (SG) oscillations and the 70-90 Hz band to define </w:t>
      </w:r>
      <w:r w:rsidR="002C62DB" w:rsidRPr="00434BAB">
        <w:rPr>
          <w:rFonts w:ascii="Arial" w:hAnsi="Arial" w:cs="Arial"/>
          <w:sz w:val="20"/>
          <w:szCs w:val="20"/>
        </w:rPr>
        <w:t>mid-frequency</w:t>
      </w:r>
      <w:r w:rsidR="002C62DB" w:rsidRPr="00434BAB" w:rsidDel="002C62DB">
        <w:rPr>
          <w:rFonts w:ascii="Arial" w:hAnsi="Arial" w:cs="Arial"/>
          <w:sz w:val="20"/>
          <w:szCs w:val="20"/>
        </w:rPr>
        <w:t xml:space="preserve"> </w:t>
      </w:r>
      <w:r w:rsidRPr="00434BAB">
        <w:rPr>
          <w:rFonts w:ascii="Arial" w:hAnsi="Arial" w:cs="Arial"/>
          <w:sz w:val="20"/>
          <w:szCs w:val="20"/>
        </w:rPr>
        <w:t>gamma (</w:t>
      </w:r>
      <w:r w:rsidR="0071320E" w:rsidRPr="00434BAB">
        <w:rPr>
          <w:rFonts w:ascii="Arial" w:hAnsi="Arial" w:cs="Arial"/>
          <w:sz w:val="20"/>
          <w:szCs w:val="20"/>
        </w:rPr>
        <w:t>MG</w:t>
      </w:r>
      <w:r w:rsidRPr="00434BAB">
        <w:rPr>
          <w:rFonts w:ascii="Arial" w:hAnsi="Arial" w:cs="Arial"/>
          <w:sz w:val="20"/>
          <w:szCs w:val="20"/>
        </w:rPr>
        <w:t xml:space="preserve">) oscillations. </w:t>
      </w:r>
      <w:r w:rsidR="00A55160" w:rsidRPr="00434BAB">
        <w:rPr>
          <w:rFonts w:ascii="Arial" w:hAnsi="Arial" w:cs="Arial"/>
          <w:sz w:val="20"/>
          <w:szCs w:val="20"/>
        </w:rPr>
        <w:t>In all subsequent analyses we only included events that were 2.5 S.D. or greater than the average power in a given frequency band.</w:t>
      </w:r>
    </w:p>
    <w:p w14:paraId="5578A2A5" w14:textId="77777777" w:rsidR="00C660F0" w:rsidRPr="00434BAB" w:rsidRDefault="00C660F0" w:rsidP="0016326C">
      <w:pPr>
        <w:spacing w:line="480" w:lineRule="auto"/>
        <w:rPr>
          <w:rFonts w:ascii="Arial" w:hAnsi="Arial" w:cs="Arial"/>
          <w:sz w:val="20"/>
          <w:szCs w:val="20"/>
        </w:rPr>
      </w:pPr>
    </w:p>
    <w:p w14:paraId="3516D61F" w14:textId="77777777" w:rsidR="00E46F16" w:rsidRPr="00434BAB" w:rsidRDefault="00E46F16" w:rsidP="0016326C">
      <w:pPr>
        <w:spacing w:line="480" w:lineRule="auto"/>
        <w:rPr>
          <w:rFonts w:ascii="Arial" w:hAnsi="Arial" w:cs="Arial"/>
          <w:sz w:val="20"/>
          <w:szCs w:val="20"/>
        </w:rPr>
      </w:pPr>
    </w:p>
    <w:p w14:paraId="222A252C" w14:textId="77777777" w:rsidR="00E46F16" w:rsidRPr="00434BAB" w:rsidRDefault="00E46F16" w:rsidP="0016326C">
      <w:pPr>
        <w:spacing w:line="480" w:lineRule="auto"/>
        <w:rPr>
          <w:rFonts w:ascii="Arial" w:hAnsi="Arial" w:cs="Arial"/>
          <w:sz w:val="20"/>
          <w:szCs w:val="20"/>
        </w:rPr>
      </w:pPr>
    </w:p>
    <w:p w14:paraId="417ED5FB" w14:textId="7A4657B1" w:rsidR="006365F9" w:rsidRPr="00434BAB" w:rsidRDefault="00E46F16" w:rsidP="00D67C60">
      <w:pPr>
        <w:rPr>
          <w:rFonts w:ascii="Arial" w:hAnsi="Arial" w:cs="Arial"/>
          <w:sz w:val="20"/>
          <w:szCs w:val="20"/>
        </w:rPr>
      </w:pPr>
      <w:r w:rsidRPr="00434BAB">
        <w:rPr>
          <w:rFonts w:ascii="Arial" w:hAnsi="Arial" w:cs="Arial"/>
          <w:sz w:val="20"/>
          <w:szCs w:val="20"/>
        </w:rPr>
        <w:fldChar w:fldCharType="begin"/>
      </w:r>
      <w:r w:rsidRPr="00434BAB">
        <w:rPr>
          <w:rFonts w:ascii="Arial" w:hAnsi="Arial" w:cs="Arial"/>
          <w:sz w:val="20"/>
          <w:szCs w:val="20"/>
        </w:rPr>
        <w:instrText xml:space="preserve"> ADDIN EN.REFLIST </w:instrText>
      </w:r>
      <w:r w:rsidRPr="00434BAB">
        <w:rPr>
          <w:rFonts w:ascii="Arial" w:hAnsi="Arial" w:cs="Arial"/>
          <w:sz w:val="20"/>
          <w:szCs w:val="20"/>
        </w:rPr>
        <w:fldChar w:fldCharType="end"/>
      </w:r>
    </w:p>
    <w:sectPr w:rsidR="006365F9" w:rsidRPr="00434BAB" w:rsidSect="00E921C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89D3F" w14:textId="77777777" w:rsidR="002A26AF" w:rsidRDefault="002A26AF">
      <w:r>
        <w:separator/>
      </w:r>
    </w:p>
  </w:endnote>
  <w:endnote w:type="continuationSeparator" w:id="0">
    <w:p w14:paraId="44B76A59" w14:textId="77777777" w:rsidR="002A26AF" w:rsidRDefault="002A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CA77" w14:textId="77777777" w:rsidR="004052CB" w:rsidRDefault="004052CB" w:rsidP="00E921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3A80CCC" w14:textId="77777777" w:rsidR="004052CB" w:rsidRDefault="004052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AA3D" w14:textId="77777777" w:rsidR="004052CB" w:rsidRDefault="004052CB" w:rsidP="00E921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6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3C565" w14:textId="77777777" w:rsidR="004052CB" w:rsidRDefault="004052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491F9" w14:textId="77777777" w:rsidR="002A26AF" w:rsidRDefault="002A26AF">
      <w:r>
        <w:separator/>
      </w:r>
    </w:p>
  </w:footnote>
  <w:footnote w:type="continuationSeparator" w:id="0">
    <w:p w14:paraId="238E9AD5" w14:textId="77777777" w:rsidR="002A26AF" w:rsidRDefault="002A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41DAB"/>
    <w:multiLevelType w:val="hybridMultilevel"/>
    <w:tmpl w:val="C3F05E76"/>
    <w:lvl w:ilvl="0" w:tplc="0C0A31E0">
      <w:start w:val="1"/>
      <w:numFmt w:val="upperLetter"/>
      <w:lvlText w:val="%1)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7A6131"/>
    <w:multiLevelType w:val="hybridMultilevel"/>
    <w:tmpl w:val="05D04FC4"/>
    <w:lvl w:ilvl="0" w:tplc="943AEE84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72FF4"/>
    <w:rsid w:val="00000134"/>
    <w:rsid w:val="00005783"/>
    <w:rsid w:val="0000587A"/>
    <w:rsid w:val="00006D62"/>
    <w:rsid w:val="0000793F"/>
    <w:rsid w:val="000129CE"/>
    <w:rsid w:val="000136CD"/>
    <w:rsid w:val="000151D4"/>
    <w:rsid w:val="00032A3B"/>
    <w:rsid w:val="00035847"/>
    <w:rsid w:val="00036358"/>
    <w:rsid w:val="00037253"/>
    <w:rsid w:val="00037A25"/>
    <w:rsid w:val="000422E8"/>
    <w:rsid w:val="00056667"/>
    <w:rsid w:val="00072FCB"/>
    <w:rsid w:val="00073198"/>
    <w:rsid w:val="00076712"/>
    <w:rsid w:val="00076F7C"/>
    <w:rsid w:val="000777E1"/>
    <w:rsid w:val="0008235C"/>
    <w:rsid w:val="00083122"/>
    <w:rsid w:val="0008487D"/>
    <w:rsid w:val="0008489A"/>
    <w:rsid w:val="00091016"/>
    <w:rsid w:val="000A04B6"/>
    <w:rsid w:val="000A3F27"/>
    <w:rsid w:val="000B048F"/>
    <w:rsid w:val="000C59F9"/>
    <w:rsid w:val="000C6B05"/>
    <w:rsid w:val="000C7731"/>
    <w:rsid w:val="000D73D4"/>
    <w:rsid w:val="000F5E75"/>
    <w:rsid w:val="00117A51"/>
    <w:rsid w:val="00127C1E"/>
    <w:rsid w:val="00130CED"/>
    <w:rsid w:val="00132517"/>
    <w:rsid w:val="00134D23"/>
    <w:rsid w:val="001351E8"/>
    <w:rsid w:val="00137F0E"/>
    <w:rsid w:val="001536AB"/>
    <w:rsid w:val="0016326C"/>
    <w:rsid w:val="00163F3E"/>
    <w:rsid w:val="00165CA4"/>
    <w:rsid w:val="00182060"/>
    <w:rsid w:val="00185464"/>
    <w:rsid w:val="00186C69"/>
    <w:rsid w:val="00186EC2"/>
    <w:rsid w:val="001874E3"/>
    <w:rsid w:val="0019579C"/>
    <w:rsid w:val="001A68DC"/>
    <w:rsid w:val="001B28C1"/>
    <w:rsid w:val="001C4DB5"/>
    <w:rsid w:val="001D3094"/>
    <w:rsid w:val="001D3CDA"/>
    <w:rsid w:val="001D6C8E"/>
    <w:rsid w:val="001E45EA"/>
    <w:rsid w:val="00201A26"/>
    <w:rsid w:val="00205D5F"/>
    <w:rsid w:val="002120D9"/>
    <w:rsid w:val="00221F7D"/>
    <w:rsid w:val="00223954"/>
    <w:rsid w:val="00242905"/>
    <w:rsid w:val="00243A33"/>
    <w:rsid w:val="00244609"/>
    <w:rsid w:val="002537CE"/>
    <w:rsid w:val="00261844"/>
    <w:rsid w:val="00265BAA"/>
    <w:rsid w:val="00272FF4"/>
    <w:rsid w:val="00275884"/>
    <w:rsid w:val="00277018"/>
    <w:rsid w:val="00281E7E"/>
    <w:rsid w:val="00294B53"/>
    <w:rsid w:val="002A26AF"/>
    <w:rsid w:val="002A4B7A"/>
    <w:rsid w:val="002A5FAF"/>
    <w:rsid w:val="002B0813"/>
    <w:rsid w:val="002C62DB"/>
    <w:rsid w:val="002C6D36"/>
    <w:rsid w:val="002C7D3E"/>
    <w:rsid w:val="002D2952"/>
    <w:rsid w:val="002E1789"/>
    <w:rsid w:val="003041D0"/>
    <w:rsid w:val="003104AE"/>
    <w:rsid w:val="00313A0B"/>
    <w:rsid w:val="00316433"/>
    <w:rsid w:val="0032108E"/>
    <w:rsid w:val="003210A1"/>
    <w:rsid w:val="00325D22"/>
    <w:rsid w:val="00326995"/>
    <w:rsid w:val="00330E8B"/>
    <w:rsid w:val="0033246A"/>
    <w:rsid w:val="00333D31"/>
    <w:rsid w:val="00336993"/>
    <w:rsid w:val="0034284E"/>
    <w:rsid w:val="00344A53"/>
    <w:rsid w:val="00350F11"/>
    <w:rsid w:val="00360A89"/>
    <w:rsid w:val="00361FA7"/>
    <w:rsid w:val="00376B02"/>
    <w:rsid w:val="00380228"/>
    <w:rsid w:val="003808A4"/>
    <w:rsid w:val="00383FFE"/>
    <w:rsid w:val="003967A8"/>
    <w:rsid w:val="003A2FDE"/>
    <w:rsid w:val="003B3383"/>
    <w:rsid w:val="003B3E30"/>
    <w:rsid w:val="003B7DFD"/>
    <w:rsid w:val="003C6D47"/>
    <w:rsid w:val="003D76E0"/>
    <w:rsid w:val="003E1A2A"/>
    <w:rsid w:val="0040324E"/>
    <w:rsid w:val="004032EF"/>
    <w:rsid w:val="004041E3"/>
    <w:rsid w:val="004052CB"/>
    <w:rsid w:val="004062E2"/>
    <w:rsid w:val="004076C3"/>
    <w:rsid w:val="00417CDD"/>
    <w:rsid w:val="004209AA"/>
    <w:rsid w:val="004304A3"/>
    <w:rsid w:val="00431A5C"/>
    <w:rsid w:val="00434BAB"/>
    <w:rsid w:val="00436E5B"/>
    <w:rsid w:val="00456DC1"/>
    <w:rsid w:val="00461727"/>
    <w:rsid w:val="0046180F"/>
    <w:rsid w:val="00466FEB"/>
    <w:rsid w:val="00470DDB"/>
    <w:rsid w:val="00475348"/>
    <w:rsid w:val="00485AEF"/>
    <w:rsid w:val="004879CF"/>
    <w:rsid w:val="00493444"/>
    <w:rsid w:val="00494BBA"/>
    <w:rsid w:val="004A188A"/>
    <w:rsid w:val="004A664E"/>
    <w:rsid w:val="004B12F4"/>
    <w:rsid w:val="004B354C"/>
    <w:rsid w:val="004C0704"/>
    <w:rsid w:val="004C25D9"/>
    <w:rsid w:val="004D5F1C"/>
    <w:rsid w:val="004D7FB4"/>
    <w:rsid w:val="004E008D"/>
    <w:rsid w:val="004E332D"/>
    <w:rsid w:val="004E4CD6"/>
    <w:rsid w:val="005022CA"/>
    <w:rsid w:val="0050772D"/>
    <w:rsid w:val="0051347D"/>
    <w:rsid w:val="005138D3"/>
    <w:rsid w:val="00525ED5"/>
    <w:rsid w:val="00531D85"/>
    <w:rsid w:val="00533172"/>
    <w:rsid w:val="00541F43"/>
    <w:rsid w:val="0054248B"/>
    <w:rsid w:val="00542B36"/>
    <w:rsid w:val="00544D2C"/>
    <w:rsid w:val="00546BF8"/>
    <w:rsid w:val="00547112"/>
    <w:rsid w:val="00560CD4"/>
    <w:rsid w:val="00566628"/>
    <w:rsid w:val="005673F5"/>
    <w:rsid w:val="005703E8"/>
    <w:rsid w:val="00572F8F"/>
    <w:rsid w:val="00573DA7"/>
    <w:rsid w:val="00574905"/>
    <w:rsid w:val="00575F87"/>
    <w:rsid w:val="005856B2"/>
    <w:rsid w:val="005A0992"/>
    <w:rsid w:val="005B07B9"/>
    <w:rsid w:val="005B0EDB"/>
    <w:rsid w:val="005B199E"/>
    <w:rsid w:val="005B2CB8"/>
    <w:rsid w:val="005B4621"/>
    <w:rsid w:val="005C174C"/>
    <w:rsid w:val="005C64D5"/>
    <w:rsid w:val="005D420B"/>
    <w:rsid w:val="005F7435"/>
    <w:rsid w:val="00607D6A"/>
    <w:rsid w:val="0061708C"/>
    <w:rsid w:val="00620A47"/>
    <w:rsid w:val="00627B72"/>
    <w:rsid w:val="00632FCC"/>
    <w:rsid w:val="00635565"/>
    <w:rsid w:val="006365F9"/>
    <w:rsid w:val="0064242E"/>
    <w:rsid w:val="00644FD7"/>
    <w:rsid w:val="006468C2"/>
    <w:rsid w:val="006542B2"/>
    <w:rsid w:val="00654C14"/>
    <w:rsid w:val="00657515"/>
    <w:rsid w:val="0066136E"/>
    <w:rsid w:val="00661CF3"/>
    <w:rsid w:val="0066575A"/>
    <w:rsid w:val="00670F35"/>
    <w:rsid w:val="006724E7"/>
    <w:rsid w:val="006845BB"/>
    <w:rsid w:val="00691347"/>
    <w:rsid w:val="006A1BF7"/>
    <w:rsid w:val="006A476E"/>
    <w:rsid w:val="006B331D"/>
    <w:rsid w:val="006B4EC6"/>
    <w:rsid w:val="006C4AEE"/>
    <w:rsid w:val="006D0AD3"/>
    <w:rsid w:val="006E10EE"/>
    <w:rsid w:val="006E17F9"/>
    <w:rsid w:val="006E76AB"/>
    <w:rsid w:val="006F0623"/>
    <w:rsid w:val="006F5C44"/>
    <w:rsid w:val="00701E50"/>
    <w:rsid w:val="007065F9"/>
    <w:rsid w:val="0071320E"/>
    <w:rsid w:val="007174EE"/>
    <w:rsid w:val="00723418"/>
    <w:rsid w:val="00731811"/>
    <w:rsid w:val="00735F76"/>
    <w:rsid w:val="00747115"/>
    <w:rsid w:val="007477A4"/>
    <w:rsid w:val="00747F96"/>
    <w:rsid w:val="007746B9"/>
    <w:rsid w:val="00791EE0"/>
    <w:rsid w:val="007A620D"/>
    <w:rsid w:val="007B6057"/>
    <w:rsid w:val="007C004A"/>
    <w:rsid w:val="007C1F72"/>
    <w:rsid w:val="007D65CA"/>
    <w:rsid w:val="007E4A79"/>
    <w:rsid w:val="007E6EBB"/>
    <w:rsid w:val="007F72FC"/>
    <w:rsid w:val="0080190E"/>
    <w:rsid w:val="00806120"/>
    <w:rsid w:val="00812BA3"/>
    <w:rsid w:val="00815063"/>
    <w:rsid w:val="008342A2"/>
    <w:rsid w:val="00846D73"/>
    <w:rsid w:val="00852B62"/>
    <w:rsid w:val="00854FA3"/>
    <w:rsid w:val="00854FBE"/>
    <w:rsid w:val="00857840"/>
    <w:rsid w:val="00860D7B"/>
    <w:rsid w:val="0086296D"/>
    <w:rsid w:val="00866AE5"/>
    <w:rsid w:val="00884277"/>
    <w:rsid w:val="00887409"/>
    <w:rsid w:val="00891889"/>
    <w:rsid w:val="008B3843"/>
    <w:rsid w:val="008C08AA"/>
    <w:rsid w:val="008C1022"/>
    <w:rsid w:val="008E336B"/>
    <w:rsid w:val="008E68CA"/>
    <w:rsid w:val="008F0979"/>
    <w:rsid w:val="008F3D6A"/>
    <w:rsid w:val="009052D2"/>
    <w:rsid w:val="009058EA"/>
    <w:rsid w:val="009061E2"/>
    <w:rsid w:val="00917D09"/>
    <w:rsid w:val="009231D1"/>
    <w:rsid w:val="00925F26"/>
    <w:rsid w:val="00930E65"/>
    <w:rsid w:val="00940A77"/>
    <w:rsid w:val="00952842"/>
    <w:rsid w:val="009738E0"/>
    <w:rsid w:val="009756C8"/>
    <w:rsid w:val="009810B7"/>
    <w:rsid w:val="00986194"/>
    <w:rsid w:val="00986445"/>
    <w:rsid w:val="00995D78"/>
    <w:rsid w:val="009979EE"/>
    <w:rsid w:val="009A4BC5"/>
    <w:rsid w:val="009B411D"/>
    <w:rsid w:val="009C18F1"/>
    <w:rsid w:val="009C4500"/>
    <w:rsid w:val="009D6898"/>
    <w:rsid w:val="009E0409"/>
    <w:rsid w:val="009E06A0"/>
    <w:rsid w:val="009E2AB2"/>
    <w:rsid w:val="009E6641"/>
    <w:rsid w:val="009F005C"/>
    <w:rsid w:val="009F1474"/>
    <w:rsid w:val="009F44B4"/>
    <w:rsid w:val="009F7358"/>
    <w:rsid w:val="00A05FE3"/>
    <w:rsid w:val="00A106C9"/>
    <w:rsid w:val="00A126A3"/>
    <w:rsid w:val="00A167FC"/>
    <w:rsid w:val="00A270B9"/>
    <w:rsid w:val="00A31AB2"/>
    <w:rsid w:val="00A37FC3"/>
    <w:rsid w:val="00A4006E"/>
    <w:rsid w:val="00A4047F"/>
    <w:rsid w:val="00A512A5"/>
    <w:rsid w:val="00A55160"/>
    <w:rsid w:val="00A551C8"/>
    <w:rsid w:val="00A555B9"/>
    <w:rsid w:val="00A70033"/>
    <w:rsid w:val="00A77269"/>
    <w:rsid w:val="00A8048D"/>
    <w:rsid w:val="00A80977"/>
    <w:rsid w:val="00A8615A"/>
    <w:rsid w:val="00A97BE5"/>
    <w:rsid w:val="00AA6F06"/>
    <w:rsid w:val="00AC414A"/>
    <w:rsid w:val="00AC7063"/>
    <w:rsid w:val="00AD3444"/>
    <w:rsid w:val="00AD3938"/>
    <w:rsid w:val="00AE7144"/>
    <w:rsid w:val="00B13369"/>
    <w:rsid w:val="00B345BB"/>
    <w:rsid w:val="00B358C3"/>
    <w:rsid w:val="00B35C83"/>
    <w:rsid w:val="00B417C1"/>
    <w:rsid w:val="00B44184"/>
    <w:rsid w:val="00B52640"/>
    <w:rsid w:val="00B6161C"/>
    <w:rsid w:val="00B6457A"/>
    <w:rsid w:val="00B72E3F"/>
    <w:rsid w:val="00B83199"/>
    <w:rsid w:val="00B86A3C"/>
    <w:rsid w:val="00B91A2B"/>
    <w:rsid w:val="00BA3594"/>
    <w:rsid w:val="00BA638F"/>
    <w:rsid w:val="00BB1017"/>
    <w:rsid w:val="00BB123B"/>
    <w:rsid w:val="00BB3BBD"/>
    <w:rsid w:val="00BB6CEB"/>
    <w:rsid w:val="00BD52C1"/>
    <w:rsid w:val="00BE2FFD"/>
    <w:rsid w:val="00BE3FDD"/>
    <w:rsid w:val="00BE6126"/>
    <w:rsid w:val="00C05380"/>
    <w:rsid w:val="00C1074C"/>
    <w:rsid w:val="00C16AB9"/>
    <w:rsid w:val="00C227E0"/>
    <w:rsid w:val="00C33658"/>
    <w:rsid w:val="00C34C9C"/>
    <w:rsid w:val="00C660F0"/>
    <w:rsid w:val="00C70AC2"/>
    <w:rsid w:val="00C74015"/>
    <w:rsid w:val="00C947B1"/>
    <w:rsid w:val="00CA262C"/>
    <w:rsid w:val="00CA6F62"/>
    <w:rsid w:val="00CB0ECA"/>
    <w:rsid w:val="00CC65E2"/>
    <w:rsid w:val="00CD2783"/>
    <w:rsid w:val="00CD32C3"/>
    <w:rsid w:val="00CD371A"/>
    <w:rsid w:val="00CD5B5A"/>
    <w:rsid w:val="00CD793B"/>
    <w:rsid w:val="00CE227B"/>
    <w:rsid w:val="00CE72B1"/>
    <w:rsid w:val="00CF68F8"/>
    <w:rsid w:val="00D00F41"/>
    <w:rsid w:val="00D01F7E"/>
    <w:rsid w:val="00D23B92"/>
    <w:rsid w:val="00D30DC5"/>
    <w:rsid w:val="00D31D3F"/>
    <w:rsid w:val="00D42638"/>
    <w:rsid w:val="00D5021E"/>
    <w:rsid w:val="00D5356E"/>
    <w:rsid w:val="00D545B9"/>
    <w:rsid w:val="00D55F3B"/>
    <w:rsid w:val="00D563F7"/>
    <w:rsid w:val="00D57E8E"/>
    <w:rsid w:val="00D622C4"/>
    <w:rsid w:val="00D643C9"/>
    <w:rsid w:val="00D67C60"/>
    <w:rsid w:val="00D73973"/>
    <w:rsid w:val="00D76FA1"/>
    <w:rsid w:val="00D87BF7"/>
    <w:rsid w:val="00D955AF"/>
    <w:rsid w:val="00DA01C2"/>
    <w:rsid w:val="00DA0665"/>
    <w:rsid w:val="00DA5F28"/>
    <w:rsid w:val="00DB2260"/>
    <w:rsid w:val="00DB7545"/>
    <w:rsid w:val="00DC5EEF"/>
    <w:rsid w:val="00DC7E65"/>
    <w:rsid w:val="00DD0F89"/>
    <w:rsid w:val="00DE392A"/>
    <w:rsid w:val="00DE4E6B"/>
    <w:rsid w:val="00DE75A0"/>
    <w:rsid w:val="00DF0FE4"/>
    <w:rsid w:val="00DF5A49"/>
    <w:rsid w:val="00DF675D"/>
    <w:rsid w:val="00E03CEC"/>
    <w:rsid w:val="00E06C7C"/>
    <w:rsid w:val="00E170C7"/>
    <w:rsid w:val="00E21731"/>
    <w:rsid w:val="00E22DAD"/>
    <w:rsid w:val="00E23B90"/>
    <w:rsid w:val="00E272D0"/>
    <w:rsid w:val="00E273E4"/>
    <w:rsid w:val="00E31AD1"/>
    <w:rsid w:val="00E373F5"/>
    <w:rsid w:val="00E42440"/>
    <w:rsid w:val="00E43F4D"/>
    <w:rsid w:val="00E4608A"/>
    <w:rsid w:val="00E46F16"/>
    <w:rsid w:val="00E53815"/>
    <w:rsid w:val="00E662C2"/>
    <w:rsid w:val="00E71A83"/>
    <w:rsid w:val="00E90BF1"/>
    <w:rsid w:val="00E90C64"/>
    <w:rsid w:val="00E90D43"/>
    <w:rsid w:val="00E91061"/>
    <w:rsid w:val="00E921C9"/>
    <w:rsid w:val="00EA0DCC"/>
    <w:rsid w:val="00EA68AC"/>
    <w:rsid w:val="00EA7BF9"/>
    <w:rsid w:val="00EA7FF4"/>
    <w:rsid w:val="00EB1341"/>
    <w:rsid w:val="00EC5269"/>
    <w:rsid w:val="00ED7562"/>
    <w:rsid w:val="00EE68C3"/>
    <w:rsid w:val="00EF068E"/>
    <w:rsid w:val="00EF277F"/>
    <w:rsid w:val="00EF36E5"/>
    <w:rsid w:val="00EF399B"/>
    <w:rsid w:val="00EF3EC3"/>
    <w:rsid w:val="00F218AA"/>
    <w:rsid w:val="00F254E9"/>
    <w:rsid w:val="00F25A12"/>
    <w:rsid w:val="00F33765"/>
    <w:rsid w:val="00F40BBB"/>
    <w:rsid w:val="00F47EAD"/>
    <w:rsid w:val="00F50BDA"/>
    <w:rsid w:val="00F55D66"/>
    <w:rsid w:val="00F60B17"/>
    <w:rsid w:val="00F66080"/>
    <w:rsid w:val="00F70148"/>
    <w:rsid w:val="00F73767"/>
    <w:rsid w:val="00F7419B"/>
    <w:rsid w:val="00F814E7"/>
    <w:rsid w:val="00F84140"/>
    <w:rsid w:val="00F9219E"/>
    <w:rsid w:val="00F925EA"/>
    <w:rsid w:val="00FA78AA"/>
    <w:rsid w:val="00FB74C2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381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2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F4"/>
  </w:style>
  <w:style w:type="character" w:styleId="CommentReference">
    <w:name w:val="annotation reference"/>
    <w:basedOn w:val="DefaultParagraphFont"/>
    <w:rsid w:val="00272F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2FF4"/>
  </w:style>
  <w:style w:type="character" w:customStyle="1" w:styleId="CommentTextChar">
    <w:name w:val="Comment Text Char"/>
    <w:basedOn w:val="DefaultParagraphFont"/>
    <w:link w:val="CommentText"/>
    <w:rsid w:val="00272FF4"/>
  </w:style>
  <w:style w:type="character" w:styleId="PageNumber">
    <w:name w:val="page number"/>
    <w:basedOn w:val="DefaultParagraphFont"/>
    <w:rsid w:val="00272FF4"/>
  </w:style>
  <w:style w:type="paragraph" w:styleId="BalloonText">
    <w:name w:val="Balloon Text"/>
    <w:basedOn w:val="Normal"/>
    <w:link w:val="BalloonTextChar"/>
    <w:uiPriority w:val="99"/>
    <w:semiHidden/>
    <w:unhideWhenUsed/>
    <w:rsid w:val="00272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F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75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D6A"/>
    <w:rPr>
      <w:color w:val="808080"/>
    </w:rPr>
  </w:style>
  <w:style w:type="paragraph" w:customStyle="1" w:styleId="EndNoteBibliographyTitle">
    <w:name w:val="EndNote Bibliography Title"/>
    <w:basedOn w:val="Normal"/>
    <w:rsid w:val="00E46F1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46F16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325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D22"/>
  </w:style>
  <w:style w:type="paragraph" w:styleId="Revision">
    <w:name w:val="Revision"/>
    <w:hidden/>
    <w:uiPriority w:val="99"/>
    <w:semiHidden/>
    <w:rsid w:val="00186C69"/>
  </w:style>
  <w:style w:type="character" w:styleId="Hyperlink">
    <w:name w:val="Hyperlink"/>
    <w:basedOn w:val="DefaultParagraphFont"/>
    <w:uiPriority w:val="99"/>
    <w:unhideWhenUsed/>
    <w:rsid w:val="00CD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B4E26-208F-524F-9F06-EAA7CC74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563</Words>
  <Characters>3212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Control of recollection by slow gamma dominating mid-frequency gamma in hippocam</vt:lpstr>
      <vt:lpstr>Authors: Dino Dvorak, Basma Radwan, Fraser T. Sparks, Zoe Nicole Talbot, André A</vt:lpstr>
      <vt:lpstr>Data and code online repository</vt:lpstr>
      <vt:lpstr>To obtain copy of the data and code used for the analyses, please visit</vt:lpstr>
      <vt:lpstr>SUPPLEMENTAL INFORMATION</vt:lpstr>
      <vt:lpstr>Basic LFP properties during active avoidance</vt:lpstr>
      <vt:lpstr>Mixtures of slow, mid-frequency and fast gamma oscillations in stratum pyramidal</vt:lpstr>
      <vt:lpstr>Mixtures of slow and mid-frequency gamma oscillations during single theta cycles</vt:lpstr>
      <vt:lpstr>Selecting the power threshold for oscillatory events</vt:lpstr>
      <vt:lpstr>Relationship between decoding accuracy, firing rate and speed</vt:lpstr>
      <vt:lpstr>REFERENCES</vt:lpstr>
    </vt:vector>
  </TitlesOfParts>
  <Company>NYU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Dvorak</dc:creator>
  <cp:keywords/>
  <dc:description/>
  <cp:lastModifiedBy>Microsoft Office User</cp:lastModifiedBy>
  <cp:revision>25</cp:revision>
  <dcterms:created xsi:type="dcterms:W3CDTF">2017-11-06T16:08:00Z</dcterms:created>
  <dcterms:modified xsi:type="dcterms:W3CDTF">2017-12-19T21:39:00Z</dcterms:modified>
</cp:coreProperties>
</file>