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C0296" w14:textId="77777777" w:rsidR="00581A72" w:rsidRPr="00D1125E" w:rsidRDefault="00581A72" w:rsidP="00C851A0">
      <w:pPr>
        <w:spacing w:line="480" w:lineRule="auto"/>
        <w:jc w:val="both"/>
        <w:rPr>
          <w:rFonts w:ascii="Arial" w:hAnsi="Arial" w:cs="Arial"/>
          <w:b/>
          <w:sz w:val="22"/>
        </w:rPr>
      </w:pPr>
      <w:proofErr w:type="gramStart"/>
      <w:r w:rsidRPr="00D1125E">
        <w:rPr>
          <w:rFonts w:ascii="Arial" w:hAnsi="Arial" w:cs="Arial"/>
          <w:b/>
          <w:sz w:val="22"/>
        </w:rPr>
        <w:t>1  High</w:t>
      </w:r>
      <w:proofErr w:type="gramEnd"/>
      <w:r w:rsidRPr="00D1125E">
        <w:rPr>
          <w:rFonts w:ascii="Arial" w:hAnsi="Arial" w:cs="Arial"/>
          <w:b/>
          <w:sz w:val="22"/>
        </w:rPr>
        <w:t xml:space="preserve"> frequency gain and loss of c2020t </w:t>
      </w:r>
      <w:proofErr w:type="spellStart"/>
      <w:r w:rsidRPr="00D1125E">
        <w:rPr>
          <w:rFonts w:ascii="Arial" w:hAnsi="Arial" w:cs="Arial"/>
          <w:b/>
          <w:i/>
          <w:sz w:val="22"/>
        </w:rPr>
        <w:t>carB</w:t>
      </w:r>
      <w:proofErr w:type="spellEnd"/>
      <w:r w:rsidRPr="00D1125E">
        <w:rPr>
          <w:rFonts w:ascii="Arial" w:hAnsi="Arial" w:cs="Arial"/>
          <w:b/>
          <w:sz w:val="22"/>
        </w:rPr>
        <w:t xml:space="preserve"> does not cause switching</w:t>
      </w:r>
    </w:p>
    <w:p w14:paraId="797C1239" w14:textId="77777777" w:rsidR="00581A72" w:rsidRPr="00D1125E" w:rsidRDefault="00581A72" w:rsidP="00C851A0">
      <w:pPr>
        <w:spacing w:line="480" w:lineRule="auto"/>
        <w:jc w:val="both"/>
        <w:rPr>
          <w:rFonts w:ascii="Arial" w:hAnsi="Arial" w:cs="Arial"/>
          <w:b/>
          <w:sz w:val="22"/>
        </w:rPr>
      </w:pPr>
      <w:r w:rsidRPr="00D1125E">
        <w:rPr>
          <w:rFonts w:ascii="Arial" w:hAnsi="Arial" w:cs="Arial"/>
          <w:sz w:val="22"/>
        </w:rPr>
        <w:t>Given that 1B</w:t>
      </w:r>
      <w:r w:rsidRPr="00D1125E">
        <w:rPr>
          <w:rFonts w:ascii="Arial" w:hAnsi="Arial" w:cs="Arial"/>
          <w:sz w:val="22"/>
          <w:vertAlign w:val="superscript"/>
        </w:rPr>
        <w:t>4</w:t>
      </w:r>
      <w:r w:rsidRPr="00D1125E">
        <w:rPr>
          <w:rFonts w:ascii="Arial" w:hAnsi="Arial" w:cs="Arial"/>
          <w:sz w:val="22"/>
        </w:rPr>
        <w:t xml:space="preserve"> capsule </w:t>
      </w:r>
      <w:proofErr w:type="spellStart"/>
      <w:r w:rsidRPr="00D1125E">
        <w:rPr>
          <w:rFonts w:ascii="Arial" w:hAnsi="Arial" w:cs="Arial"/>
          <w:sz w:val="22"/>
        </w:rPr>
        <w:t>bistability</w:t>
      </w:r>
      <w:proofErr w:type="spellEnd"/>
      <w:r w:rsidRPr="00D1125E">
        <w:rPr>
          <w:rFonts w:ascii="Arial" w:hAnsi="Arial" w:cs="Arial"/>
          <w:sz w:val="22"/>
        </w:rPr>
        <w:t xml:space="preserve"> is caused by the c2020t </w:t>
      </w:r>
      <w:proofErr w:type="spellStart"/>
      <w:r w:rsidRPr="00D1125E">
        <w:rPr>
          <w:rFonts w:ascii="Arial" w:hAnsi="Arial" w:cs="Arial"/>
          <w:i/>
          <w:sz w:val="22"/>
        </w:rPr>
        <w:t>carB</w:t>
      </w:r>
      <w:proofErr w:type="spellEnd"/>
      <w:r w:rsidRPr="00D1125E">
        <w:rPr>
          <w:rFonts w:ascii="Arial" w:hAnsi="Arial" w:cs="Arial"/>
          <w:sz w:val="22"/>
        </w:rPr>
        <w:t xml:space="preserve"> mutation </w:t>
      </w:r>
      <w:r w:rsidRPr="00D1125E">
        <w:rPr>
          <w:rFonts w:ascii="Arial" w:hAnsi="Arial" w:cs="Arial"/>
          <w:sz w:val="22"/>
        </w:rPr>
        <w:fldChar w:fldCharType="begin"/>
      </w:r>
      <w:r w:rsidRPr="00D1125E">
        <w:rPr>
          <w:rFonts w:ascii="Arial" w:hAnsi="Arial" w:cs="Arial"/>
          <w:sz w:val="22"/>
        </w:rPr>
        <w:instrText xml:space="preserve"> ADDIN EN.CITE &lt;EndNote&gt;&lt;Cite&gt;&lt;Author&gt;Beaumont&lt;/Author&gt;&lt;Year&gt;2009&lt;/Year&gt;&lt;RecNum&gt;221&lt;/RecNum&gt;&lt;record&gt;&lt;rec-number&gt;221&lt;/rec-number&gt;&lt;foreign-keys&gt;&lt;key app="EN" db-id="f2xxev5xo0wxepes0zpxr2wm9xr505sdaes5"&gt;221&lt;/key&gt;&lt;/foreign-keys&gt;&lt;ref-type name="Journal Article"&gt;17&lt;/ref-type&gt;&lt;contributors&gt;&lt;authors&gt;&lt;author&gt;H.J.E. Beaumont&lt;/author&gt;&lt;author&gt;J. Gallie&lt;/author&gt;&lt;author&gt;C. Kost&lt;/author&gt;&lt;author&gt;G. C. Ferguson&lt;/author&gt;&lt;author&gt;P.B. Rainey&lt;/author&gt;&lt;/authors&gt;&lt;/contributors&gt;&lt;titles&gt;&lt;title&gt;Experimental evolution of bet hedging&lt;/title&gt;&lt;secondary-title&gt;Nature&lt;/secondary-title&gt;&lt;/titles&gt;&lt;periodical&gt;&lt;full-title&gt;Nature&lt;/full-title&gt;&lt;/periodical&gt;&lt;pages&gt;90-94&lt;/pages&gt;&lt;volume&gt;462&lt;/volume&gt;&lt;number&gt;7269&lt;/number&gt;&lt;dates&gt;&lt;year&gt;2009&lt;/year&gt;&lt;/dates&gt;&lt;urls&gt;&lt;/urls&gt;&lt;/record&gt;&lt;/Cite&gt;&lt;/EndNote&gt;</w:instrText>
      </w:r>
      <w:r w:rsidRPr="00D1125E">
        <w:rPr>
          <w:rFonts w:ascii="Arial" w:hAnsi="Arial" w:cs="Arial"/>
          <w:sz w:val="22"/>
        </w:rPr>
        <w:fldChar w:fldCharType="separate"/>
      </w:r>
      <w:r w:rsidRPr="00D1125E">
        <w:rPr>
          <w:rFonts w:ascii="Arial" w:hAnsi="Arial" w:cs="Arial"/>
          <w:sz w:val="22"/>
        </w:rPr>
        <w:t>[1]</w:t>
      </w:r>
      <w:r w:rsidRPr="00D1125E">
        <w:rPr>
          <w:rFonts w:ascii="Arial" w:hAnsi="Arial" w:cs="Arial"/>
          <w:sz w:val="22"/>
        </w:rPr>
        <w:fldChar w:fldCharType="end"/>
      </w:r>
      <w:r w:rsidRPr="00D1125E">
        <w:rPr>
          <w:rFonts w:ascii="Arial" w:hAnsi="Arial" w:cs="Arial"/>
          <w:sz w:val="22"/>
        </w:rPr>
        <w:t xml:space="preserve">, rapid gain and loss of the mutation is the simplest mechanistic explanation. Analysis of the DNA sequence surrounding the c2020t mutation failed to identify any repetitive tracts that might be prone the type prone to rapid mutational change </w:t>
      </w:r>
      <w:r w:rsidRPr="00D1125E">
        <w:rPr>
          <w:rFonts w:ascii="Arial" w:hAnsi="Arial" w:cs="Arial"/>
          <w:sz w:val="22"/>
        </w:rPr>
        <w:fldChar w:fldCharType="begin"/>
      </w:r>
      <w:r w:rsidRPr="00D1125E">
        <w:rPr>
          <w:rFonts w:ascii="Arial" w:hAnsi="Arial" w:cs="Arial"/>
          <w:sz w:val="22"/>
        </w:rPr>
        <w:instrText xml:space="preserve"> ADDIN EN.CITE &lt;EndNote&gt;&lt;Cite&gt;&lt;Author&gt;Moxon&lt;/Author&gt;&lt;Year&gt;1994&lt;/Year&gt;&lt;RecNum&gt;8&lt;/RecNum&gt;&lt;record&gt;&lt;rec-number&gt;8&lt;/rec-number&gt;&lt;foreign-keys&gt;&lt;key app="EN" db-id="f2xxev5xo0wxepes0zpxr2wm9xr505sdaes5"&gt;8&lt;/key&gt;&lt;/foreign-keys&gt;&lt;ref-type name="Journal Article"&gt;17&lt;/ref-type&gt;&lt;contributors&gt;&lt;authors&gt;&lt;author&gt;E.R. Moxon&lt;/author&gt;&lt;author&gt;P.B. Rainey&lt;/author&gt;&lt;author&gt;M.A. Nowak&lt;/author&gt;&lt;author&gt;R.E. Lenski&lt;/author&gt;&lt;/authors&gt;&lt;/contributors&gt;&lt;titles&gt;&lt;title&gt;Adaptive evolution of highly mutable loci in pathogenic bacteria&lt;/title&gt;&lt;secondary-title&gt;Curr Biol&lt;/secondary-title&gt;&lt;/titles&gt;&lt;periodical&gt;&lt;full-title&gt;Curr Biol&lt;/full-title&gt;&lt;/periodical&gt;&lt;pages&gt;24-33&lt;/pages&gt;&lt;volume&gt;4&lt;/volume&gt;&lt;number&gt;1&lt;/number&gt;&lt;dates&gt;&lt;year&gt;1994&lt;/year&gt;&lt;/dates&gt;&lt;urls&gt;&lt;/urls&gt;&lt;/record&gt;&lt;/Cite&gt;&lt;/EndNote&gt;</w:instrText>
      </w:r>
      <w:r w:rsidRPr="00D1125E">
        <w:rPr>
          <w:rFonts w:ascii="Arial" w:hAnsi="Arial" w:cs="Arial"/>
          <w:sz w:val="22"/>
        </w:rPr>
        <w:fldChar w:fldCharType="separate"/>
      </w:r>
      <w:r w:rsidRPr="00D1125E">
        <w:rPr>
          <w:rFonts w:ascii="Arial" w:hAnsi="Arial" w:cs="Arial"/>
          <w:sz w:val="22"/>
        </w:rPr>
        <w:t>[2]</w:t>
      </w:r>
      <w:r w:rsidRPr="00D1125E">
        <w:rPr>
          <w:rFonts w:ascii="Arial" w:hAnsi="Arial" w:cs="Arial"/>
          <w:sz w:val="22"/>
        </w:rPr>
        <w:fldChar w:fldCharType="end"/>
      </w:r>
      <w:r w:rsidRPr="00D1125E">
        <w:rPr>
          <w:rFonts w:ascii="Arial" w:hAnsi="Arial" w:cs="Arial"/>
          <w:sz w:val="22"/>
        </w:rPr>
        <w:t>. Nonetheless, an overnight culture of 1B</w:t>
      </w:r>
      <w:r w:rsidRPr="00D1125E">
        <w:rPr>
          <w:rFonts w:ascii="Arial" w:hAnsi="Arial" w:cs="Arial"/>
          <w:sz w:val="22"/>
          <w:vertAlign w:val="superscript"/>
        </w:rPr>
        <w:t>4</w:t>
      </w:r>
      <w:r w:rsidRPr="00D1125E">
        <w:rPr>
          <w:rFonts w:ascii="Arial" w:hAnsi="Arial" w:cs="Arial"/>
          <w:sz w:val="22"/>
        </w:rPr>
        <w:t xml:space="preserve"> was separated by centrifug</w:t>
      </w:r>
      <w:bookmarkStart w:id="0" w:name="_GoBack"/>
      <w:bookmarkEnd w:id="0"/>
      <w:r w:rsidRPr="00D1125E">
        <w:rPr>
          <w:rFonts w:ascii="Arial" w:hAnsi="Arial" w:cs="Arial"/>
          <w:sz w:val="22"/>
        </w:rPr>
        <w:t>ation into Cap</w:t>
      </w:r>
      <w:r w:rsidRPr="00D1125E">
        <w:rPr>
          <w:rFonts w:ascii="Arial" w:hAnsi="Arial" w:cs="Arial"/>
          <w:sz w:val="22"/>
          <w:vertAlign w:val="superscript"/>
        </w:rPr>
        <w:t>+</w:t>
      </w:r>
      <w:r w:rsidRPr="00D1125E">
        <w:rPr>
          <w:rFonts w:ascii="Arial" w:hAnsi="Arial" w:cs="Arial"/>
          <w:sz w:val="22"/>
        </w:rPr>
        <w:t xml:space="preserve"> and Cap</w:t>
      </w:r>
      <w:r w:rsidRPr="00D1125E">
        <w:rPr>
          <w:rFonts w:ascii="Arial" w:hAnsi="Arial" w:cs="Arial"/>
          <w:sz w:val="22"/>
          <w:vertAlign w:val="superscript"/>
        </w:rPr>
        <w:t xml:space="preserve">- </w:t>
      </w:r>
      <w:r w:rsidRPr="00D1125E">
        <w:rPr>
          <w:rFonts w:ascii="Arial" w:hAnsi="Arial" w:cs="Arial"/>
          <w:sz w:val="22"/>
        </w:rPr>
        <w:t xml:space="preserve">fractions, and the relevant region of </w:t>
      </w:r>
      <w:proofErr w:type="spellStart"/>
      <w:r w:rsidRPr="00D1125E">
        <w:rPr>
          <w:rFonts w:ascii="Arial" w:hAnsi="Arial" w:cs="Arial"/>
          <w:i/>
          <w:sz w:val="22"/>
        </w:rPr>
        <w:t>carB</w:t>
      </w:r>
      <w:proofErr w:type="spellEnd"/>
      <w:r w:rsidRPr="00D1125E">
        <w:rPr>
          <w:rFonts w:ascii="Arial" w:hAnsi="Arial" w:cs="Arial"/>
          <w:i/>
          <w:sz w:val="22"/>
        </w:rPr>
        <w:t xml:space="preserve"> </w:t>
      </w:r>
      <w:r w:rsidRPr="00D1125E">
        <w:rPr>
          <w:rFonts w:ascii="Arial" w:hAnsi="Arial" w:cs="Arial"/>
          <w:sz w:val="22"/>
        </w:rPr>
        <w:t>sequenced. The c2020t</w:t>
      </w:r>
      <w:r w:rsidRPr="00D1125E">
        <w:rPr>
          <w:rFonts w:ascii="Arial" w:hAnsi="Arial" w:cs="Arial"/>
          <w:i/>
          <w:sz w:val="22"/>
        </w:rPr>
        <w:t xml:space="preserve"> </w:t>
      </w:r>
      <w:proofErr w:type="spellStart"/>
      <w:r w:rsidRPr="00D1125E">
        <w:rPr>
          <w:rFonts w:ascii="Arial" w:hAnsi="Arial" w:cs="Arial"/>
          <w:i/>
          <w:sz w:val="22"/>
        </w:rPr>
        <w:t>carB</w:t>
      </w:r>
      <w:proofErr w:type="spellEnd"/>
      <w:r w:rsidRPr="00D1125E">
        <w:rPr>
          <w:rFonts w:ascii="Arial" w:hAnsi="Arial" w:cs="Arial"/>
          <w:sz w:val="22"/>
        </w:rPr>
        <w:t xml:space="preserve"> mutation was present in both fractions, showing that capsule switching is not caused by gain and loss of the </w:t>
      </w:r>
      <w:proofErr w:type="spellStart"/>
      <w:r w:rsidRPr="00D1125E">
        <w:rPr>
          <w:rFonts w:ascii="Arial" w:hAnsi="Arial" w:cs="Arial"/>
          <w:i/>
          <w:sz w:val="22"/>
        </w:rPr>
        <w:t>carB</w:t>
      </w:r>
      <w:proofErr w:type="spellEnd"/>
      <w:r w:rsidRPr="00D1125E">
        <w:rPr>
          <w:rFonts w:ascii="Arial" w:hAnsi="Arial" w:cs="Arial"/>
          <w:sz w:val="22"/>
        </w:rPr>
        <w:t xml:space="preserve"> mutation. This indicates that the mutation must establish a series of genetic and/or epigenetic events that culminate in phenotypic bifurcation of the population.</w:t>
      </w:r>
    </w:p>
    <w:p w14:paraId="27D41DD4" w14:textId="77777777" w:rsidR="00581A72" w:rsidRPr="00D1125E" w:rsidRDefault="00581A72" w:rsidP="00C851A0">
      <w:pPr>
        <w:spacing w:line="480" w:lineRule="auto"/>
        <w:jc w:val="both"/>
        <w:rPr>
          <w:rFonts w:ascii="Arial" w:hAnsi="Arial" w:cs="Arial"/>
          <w:sz w:val="22"/>
        </w:rPr>
      </w:pPr>
    </w:p>
    <w:p w14:paraId="0F891114" w14:textId="77777777" w:rsidR="00581A72" w:rsidRPr="00D1125E" w:rsidRDefault="00581A72" w:rsidP="00C851A0">
      <w:pPr>
        <w:spacing w:line="480" w:lineRule="auto"/>
        <w:jc w:val="both"/>
        <w:rPr>
          <w:rFonts w:ascii="Arial" w:hAnsi="Arial" w:cs="Arial"/>
          <w:b/>
          <w:sz w:val="22"/>
        </w:rPr>
      </w:pPr>
      <w:proofErr w:type="gramStart"/>
      <w:r w:rsidRPr="00D1125E">
        <w:rPr>
          <w:rFonts w:ascii="Arial" w:hAnsi="Arial" w:cs="Arial"/>
          <w:b/>
          <w:sz w:val="22"/>
        </w:rPr>
        <w:t>2  Amplification</w:t>
      </w:r>
      <w:proofErr w:type="gramEnd"/>
      <w:r w:rsidRPr="00D1125E">
        <w:rPr>
          <w:rFonts w:ascii="Arial" w:hAnsi="Arial" w:cs="Arial"/>
          <w:b/>
          <w:sz w:val="22"/>
        </w:rPr>
        <w:t xml:space="preserve"> of </w:t>
      </w:r>
      <w:proofErr w:type="spellStart"/>
      <w:r w:rsidRPr="00D1125E">
        <w:rPr>
          <w:rFonts w:ascii="Arial" w:hAnsi="Arial" w:cs="Arial"/>
          <w:b/>
          <w:i/>
          <w:sz w:val="22"/>
        </w:rPr>
        <w:t>carB</w:t>
      </w:r>
      <w:proofErr w:type="spellEnd"/>
      <w:r w:rsidRPr="00D1125E">
        <w:rPr>
          <w:rFonts w:ascii="Arial" w:hAnsi="Arial" w:cs="Arial"/>
          <w:b/>
          <w:i/>
          <w:sz w:val="22"/>
        </w:rPr>
        <w:t xml:space="preserve"> </w:t>
      </w:r>
      <w:r w:rsidRPr="00D1125E">
        <w:rPr>
          <w:rFonts w:ascii="Arial" w:hAnsi="Arial" w:cs="Arial"/>
          <w:b/>
          <w:sz w:val="22"/>
        </w:rPr>
        <w:t>is not responsible for switching</w:t>
      </w:r>
    </w:p>
    <w:p w14:paraId="1860F58C" w14:textId="77777777" w:rsidR="00581A72" w:rsidRPr="00D1125E" w:rsidRDefault="00581A72" w:rsidP="00C851A0">
      <w:pPr>
        <w:spacing w:line="480" w:lineRule="auto"/>
        <w:jc w:val="both"/>
        <w:rPr>
          <w:rFonts w:ascii="Arial" w:hAnsi="Arial" w:cs="Arial"/>
          <w:sz w:val="22"/>
          <w:lang w:val="en-US"/>
        </w:rPr>
      </w:pPr>
      <w:r w:rsidRPr="00D1125E">
        <w:rPr>
          <w:rFonts w:ascii="Arial" w:hAnsi="Arial" w:cs="Arial"/>
          <w:sz w:val="22"/>
        </w:rPr>
        <w:t xml:space="preserve">We considered the possibility that a deficit of one or more pyrimidine biosynthetic pathway intermediates (due to the </w:t>
      </w:r>
      <w:proofErr w:type="spellStart"/>
      <w:r w:rsidRPr="00D1125E">
        <w:rPr>
          <w:rFonts w:ascii="Arial" w:hAnsi="Arial" w:cs="Arial"/>
          <w:i/>
          <w:sz w:val="22"/>
        </w:rPr>
        <w:t>carB</w:t>
      </w:r>
      <w:proofErr w:type="spellEnd"/>
      <w:r w:rsidRPr="00D1125E">
        <w:rPr>
          <w:rFonts w:ascii="Arial" w:hAnsi="Arial" w:cs="Arial"/>
          <w:sz w:val="22"/>
        </w:rPr>
        <w:t xml:space="preserve"> mutation) might allow selection to amplify the </w:t>
      </w:r>
      <w:proofErr w:type="spellStart"/>
      <w:r w:rsidRPr="00D1125E">
        <w:rPr>
          <w:rFonts w:ascii="Arial" w:hAnsi="Arial" w:cs="Arial"/>
          <w:i/>
          <w:sz w:val="22"/>
        </w:rPr>
        <w:t>carB</w:t>
      </w:r>
      <w:proofErr w:type="spellEnd"/>
      <w:r w:rsidRPr="00D1125E">
        <w:rPr>
          <w:rFonts w:ascii="Arial" w:hAnsi="Arial" w:cs="Arial"/>
          <w:sz w:val="22"/>
        </w:rPr>
        <w:t xml:space="preserve"> locus in a manner akin to amplification of the partially defective </w:t>
      </w:r>
      <w:proofErr w:type="spellStart"/>
      <w:r w:rsidRPr="00D1125E">
        <w:rPr>
          <w:rFonts w:ascii="Arial" w:hAnsi="Arial" w:cs="Arial"/>
          <w:i/>
          <w:sz w:val="22"/>
        </w:rPr>
        <w:t>lacIZ</w:t>
      </w:r>
      <w:proofErr w:type="spellEnd"/>
      <w:r w:rsidRPr="00D1125E">
        <w:rPr>
          <w:rFonts w:ascii="Arial" w:hAnsi="Arial" w:cs="Arial"/>
          <w:i/>
          <w:sz w:val="22"/>
        </w:rPr>
        <w:t xml:space="preserve"> </w:t>
      </w:r>
      <w:r w:rsidRPr="00D1125E">
        <w:rPr>
          <w:rFonts w:ascii="Arial" w:hAnsi="Arial" w:cs="Arial"/>
          <w:sz w:val="22"/>
        </w:rPr>
        <w:t xml:space="preserve">allele in </w:t>
      </w:r>
      <w:r w:rsidRPr="00D1125E">
        <w:rPr>
          <w:rFonts w:ascii="Arial" w:hAnsi="Arial" w:cs="Arial"/>
          <w:i/>
          <w:sz w:val="22"/>
          <w:lang w:val="en-US"/>
        </w:rPr>
        <w:t>E. coli</w:t>
      </w:r>
      <w:r w:rsidRPr="00D1125E">
        <w:rPr>
          <w:rFonts w:ascii="Arial" w:hAnsi="Arial" w:cs="Arial"/>
          <w:sz w:val="22"/>
          <w:lang w:val="en-US"/>
        </w:rPr>
        <w:t xml:space="preserve"> grown on lactose </w:t>
      </w:r>
      <w:r w:rsidRPr="00D1125E">
        <w:rPr>
          <w:rFonts w:ascii="Arial" w:hAnsi="Arial" w:cs="Arial"/>
          <w:sz w:val="22"/>
          <w:lang w:val="en-US"/>
        </w:rPr>
        <w:fldChar w:fldCharType="begin"/>
      </w:r>
      <w:r w:rsidRPr="00D1125E">
        <w:rPr>
          <w:rFonts w:ascii="Arial" w:hAnsi="Arial" w:cs="Arial"/>
          <w:sz w:val="22"/>
          <w:lang w:val="en-US"/>
        </w:rPr>
        <w:instrText xml:space="preserve"> ADDIN EN.CITE &lt;EndNote&gt;&lt;Cite&gt;&lt;Author&gt;Andersson&lt;/Author&gt;&lt;Year&gt;1998&lt;/Year&gt;&lt;RecNum&gt;12&lt;/RecNum&gt;&lt;record&gt;&lt;rec-number&gt;12&lt;/rec-number&gt;&lt;foreign-keys&gt;&lt;key app="EN" db-id="f2xxev5xo0wxepes0zpxr2wm9xr505sdaes5"&gt;12&lt;/key&gt;&lt;/foreign-keys&gt;&lt;ref-type name="Journal Article"&gt;17&lt;/ref-type&gt;&lt;contributors&gt;&lt;authors&gt;&lt;author&gt;D.I. Andersson&lt;/author&gt;&lt;author&gt;E.S. Slechta&lt;/author&gt;&lt;author&gt;J.R. Roth&lt;/author&gt;&lt;/authors&gt;&lt;/contributors&gt;&lt;titles&gt;&lt;title&gt;&lt;style face="normal" font="default" size="100%"&gt;Evidence that gene amplification underlies adaptive mutability of the bacterial &lt;/style&gt;&lt;style face="italic" font="default" size="100%"&gt;lac&lt;/style&gt;&lt;style face="normal" font="default" size="100%"&gt; operon&lt;/style&gt;&lt;/title&gt;&lt;secondary-title&gt;Science&lt;/secondary-title&gt;&lt;/titles&gt;&lt;periodical&gt;&lt;full-title&gt;Science&lt;/full-title&gt;&lt;/periodical&gt;&lt;pages&gt;1133-1135&lt;/pages&gt;&lt;volume&gt;282&lt;/volume&gt;&lt;number&gt;5391&lt;/number&gt;&lt;dates&gt;&lt;year&gt;1998&lt;/year&gt;&lt;/dates&gt;&lt;urls&gt;&lt;/urls&gt;&lt;/record&gt;&lt;/Cite&gt;&lt;/EndNote&gt;</w:instrText>
      </w:r>
      <w:r w:rsidRPr="00D1125E">
        <w:rPr>
          <w:rFonts w:ascii="Arial" w:hAnsi="Arial" w:cs="Arial"/>
          <w:sz w:val="22"/>
          <w:lang w:val="en-US"/>
        </w:rPr>
        <w:fldChar w:fldCharType="separate"/>
      </w:r>
      <w:r w:rsidRPr="00D1125E">
        <w:rPr>
          <w:rFonts w:ascii="Arial" w:hAnsi="Arial" w:cs="Arial"/>
          <w:sz w:val="22"/>
          <w:lang w:val="en-US"/>
        </w:rPr>
        <w:t>[3]</w:t>
      </w:r>
      <w:r w:rsidRPr="00D1125E">
        <w:rPr>
          <w:rFonts w:ascii="Arial" w:hAnsi="Arial" w:cs="Arial"/>
          <w:sz w:val="22"/>
          <w:lang w:val="en-US"/>
        </w:rPr>
        <w:fldChar w:fldCharType="end"/>
      </w:r>
      <w:r w:rsidRPr="00D1125E">
        <w:rPr>
          <w:rFonts w:ascii="Arial" w:hAnsi="Arial" w:cs="Arial"/>
          <w:sz w:val="22"/>
        </w:rPr>
        <w:t xml:space="preserve">. According to this model, amplification of </w:t>
      </w:r>
      <w:proofErr w:type="spellStart"/>
      <w:r w:rsidRPr="00D1125E">
        <w:rPr>
          <w:rFonts w:ascii="Arial" w:hAnsi="Arial" w:cs="Arial"/>
          <w:i/>
          <w:sz w:val="22"/>
        </w:rPr>
        <w:t>carB</w:t>
      </w:r>
      <w:proofErr w:type="spellEnd"/>
      <w:r w:rsidRPr="00D1125E">
        <w:rPr>
          <w:rFonts w:ascii="Arial" w:hAnsi="Arial" w:cs="Arial"/>
          <w:sz w:val="22"/>
        </w:rPr>
        <w:t xml:space="preserve"> would increas</w:t>
      </w:r>
      <w:r>
        <w:rPr>
          <w:rFonts w:ascii="Arial" w:hAnsi="Arial" w:cs="Arial"/>
          <w:sz w:val="22"/>
        </w:rPr>
        <w:t xml:space="preserve">e the amount of the defective </w:t>
      </w:r>
      <w:proofErr w:type="spellStart"/>
      <w:r>
        <w:rPr>
          <w:rFonts w:ascii="Arial" w:hAnsi="Arial" w:cs="Arial"/>
          <w:sz w:val="22"/>
        </w:rPr>
        <w:t>carbamoylphosphate</w:t>
      </w:r>
      <w:proofErr w:type="spellEnd"/>
      <w:r>
        <w:rPr>
          <w:rFonts w:ascii="Arial" w:hAnsi="Arial" w:cs="Arial"/>
          <w:sz w:val="22"/>
        </w:rPr>
        <w:t xml:space="preserve"> (CP)</w:t>
      </w:r>
      <w:r w:rsidRPr="00D1125E">
        <w:rPr>
          <w:rFonts w:ascii="Arial" w:hAnsi="Arial" w:cs="Arial"/>
          <w:sz w:val="22"/>
        </w:rPr>
        <w:t xml:space="preserve"> enzyme to the point of over supply leading to expression of the Cap</w:t>
      </w:r>
      <w:r w:rsidRPr="00D1125E">
        <w:rPr>
          <w:rFonts w:ascii="Arial" w:hAnsi="Arial" w:cs="Arial"/>
          <w:sz w:val="22"/>
          <w:vertAlign w:val="superscript"/>
        </w:rPr>
        <w:t>+</w:t>
      </w:r>
      <w:r w:rsidRPr="00D1125E">
        <w:rPr>
          <w:rFonts w:ascii="Arial" w:hAnsi="Arial" w:cs="Arial"/>
          <w:sz w:val="22"/>
        </w:rPr>
        <w:t xml:space="preserve"> state. The resulting population would then experience relaxed selection for maintenance of the amplified locus resulting in a reduction in copy number, a concomitant reduction in CP, and a switch to the Cap</w:t>
      </w:r>
      <w:r w:rsidRPr="00D1125E">
        <w:rPr>
          <w:rFonts w:ascii="Arial" w:hAnsi="Arial" w:cs="Arial"/>
          <w:sz w:val="22"/>
          <w:vertAlign w:val="superscript"/>
        </w:rPr>
        <w:t>-</w:t>
      </w:r>
      <w:r w:rsidRPr="00D1125E">
        <w:rPr>
          <w:rFonts w:ascii="Arial" w:hAnsi="Arial" w:cs="Arial"/>
          <w:sz w:val="22"/>
        </w:rPr>
        <w:t xml:space="preserve"> state. Cells returned to the CP deficient state would stand to continue to cycle between high and low states (and thus Cap</w:t>
      </w:r>
      <w:r w:rsidRPr="00D1125E">
        <w:rPr>
          <w:rFonts w:ascii="Arial" w:hAnsi="Arial" w:cs="Arial"/>
          <w:sz w:val="22"/>
          <w:vertAlign w:val="superscript"/>
        </w:rPr>
        <w:t>+</w:t>
      </w:r>
      <w:r w:rsidRPr="00D1125E">
        <w:rPr>
          <w:rFonts w:ascii="Arial" w:hAnsi="Arial" w:cs="Arial"/>
          <w:sz w:val="22"/>
        </w:rPr>
        <w:t xml:space="preserve"> and Cap</w:t>
      </w:r>
      <w:r w:rsidRPr="00D1125E">
        <w:rPr>
          <w:rFonts w:ascii="Arial" w:hAnsi="Arial" w:cs="Arial"/>
          <w:sz w:val="22"/>
          <w:vertAlign w:val="superscript"/>
        </w:rPr>
        <w:t>-</w:t>
      </w:r>
      <w:r w:rsidRPr="00D1125E">
        <w:rPr>
          <w:rFonts w:ascii="Arial" w:hAnsi="Arial" w:cs="Arial"/>
          <w:sz w:val="22"/>
        </w:rPr>
        <w:t xml:space="preserve"> cells) as a consequence of expansion and contraction of the </w:t>
      </w:r>
      <w:proofErr w:type="spellStart"/>
      <w:r w:rsidRPr="00D1125E">
        <w:rPr>
          <w:rFonts w:ascii="Arial" w:hAnsi="Arial" w:cs="Arial"/>
          <w:i/>
          <w:sz w:val="22"/>
        </w:rPr>
        <w:t>carB</w:t>
      </w:r>
      <w:proofErr w:type="spellEnd"/>
      <w:r w:rsidRPr="00D1125E">
        <w:rPr>
          <w:rFonts w:ascii="Arial" w:hAnsi="Arial" w:cs="Arial"/>
          <w:sz w:val="22"/>
        </w:rPr>
        <w:t xml:space="preserve"> locus. </w:t>
      </w:r>
      <w:r w:rsidRPr="00D1125E">
        <w:rPr>
          <w:rFonts w:ascii="Arial" w:hAnsi="Arial" w:cs="Arial"/>
          <w:sz w:val="22"/>
          <w:lang w:val="en-US"/>
        </w:rPr>
        <w:t xml:space="preserve">The model depends on the </w:t>
      </w:r>
      <w:proofErr w:type="spellStart"/>
      <w:r w:rsidRPr="00D1125E">
        <w:rPr>
          <w:rFonts w:ascii="Arial" w:hAnsi="Arial" w:cs="Arial"/>
          <w:i/>
          <w:sz w:val="22"/>
          <w:lang w:val="en-US"/>
        </w:rPr>
        <w:t>carB</w:t>
      </w:r>
      <w:proofErr w:type="spellEnd"/>
      <w:r w:rsidRPr="00D1125E">
        <w:rPr>
          <w:rFonts w:ascii="Arial" w:hAnsi="Arial" w:cs="Arial"/>
          <w:sz w:val="22"/>
          <w:lang w:val="en-US"/>
        </w:rPr>
        <w:t xml:space="preserve"> mutation reducing </w:t>
      </w:r>
      <w:proofErr w:type="spellStart"/>
      <w:r w:rsidRPr="00D1125E">
        <w:rPr>
          <w:rFonts w:ascii="Arial" w:hAnsi="Arial" w:cs="Arial"/>
          <w:sz w:val="22"/>
          <w:lang w:val="en-US"/>
        </w:rPr>
        <w:t>CarAB</w:t>
      </w:r>
      <w:proofErr w:type="spellEnd"/>
      <w:r w:rsidRPr="00D1125E">
        <w:rPr>
          <w:rFonts w:ascii="Arial" w:hAnsi="Arial" w:cs="Arial"/>
          <w:sz w:val="22"/>
          <w:lang w:val="en-US"/>
        </w:rPr>
        <w:t xml:space="preserve"> function (</w:t>
      </w:r>
      <w:proofErr w:type="gramStart"/>
      <w:r w:rsidRPr="00D1125E">
        <w:rPr>
          <w:rFonts w:ascii="Arial" w:hAnsi="Arial" w:cs="Arial"/>
          <w:sz w:val="22"/>
          <w:lang w:val="en-US"/>
        </w:rPr>
        <w:t>and</w:t>
      </w:r>
      <w:proofErr w:type="gramEnd"/>
      <w:r w:rsidRPr="00D1125E">
        <w:rPr>
          <w:rFonts w:ascii="Arial" w:hAnsi="Arial" w:cs="Arial"/>
          <w:sz w:val="22"/>
          <w:lang w:val="en-US"/>
        </w:rPr>
        <w:t xml:space="preserve"> thus CP levels), and predicts changes in </w:t>
      </w:r>
      <w:proofErr w:type="spellStart"/>
      <w:r w:rsidRPr="00D1125E">
        <w:rPr>
          <w:rFonts w:ascii="Arial" w:hAnsi="Arial" w:cs="Arial"/>
          <w:i/>
          <w:sz w:val="22"/>
          <w:lang w:val="en-US"/>
        </w:rPr>
        <w:t>carB</w:t>
      </w:r>
      <w:proofErr w:type="spellEnd"/>
      <w:r w:rsidRPr="00D1125E">
        <w:rPr>
          <w:rFonts w:ascii="Arial" w:hAnsi="Arial" w:cs="Arial"/>
          <w:sz w:val="22"/>
          <w:lang w:val="en-US"/>
        </w:rPr>
        <w:t xml:space="preserve"> copy number to underpin capsule switching.</w:t>
      </w:r>
    </w:p>
    <w:p w14:paraId="5AB8C80F" w14:textId="77777777" w:rsidR="00581A72" w:rsidRPr="00D1125E" w:rsidRDefault="00581A72" w:rsidP="00C851A0">
      <w:pPr>
        <w:spacing w:line="480" w:lineRule="auto"/>
        <w:ind w:firstLine="720"/>
        <w:jc w:val="both"/>
        <w:rPr>
          <w:rFonts w:ascii="Arial" w:hAnsi="Arial" w:cs="Arial"/>
          <w:sz w:val="22"/>
        </w:rPr>
      </w:pPr>
      <w:r w:rsidRPr="00D1125E">
        <w:rPr>
          <w:rFonts w:ascii="Arial" w:hAnsi="Arial" w:cs="Arial"/>
          <w:sz w:val="22"/>
          <w:lang w:val="en-US"/>
        </w:rPr>
        <w:t>Compared to the ancestral genotype (1A</w:t>
      </w:r>
      <w:r w:rsidRPr="00D1125E">
        <w:rPr>
          <w:rFonts w:ascii="Arial" w:hAnsi="Arial" w:cs="Arial"/>
          <w:sz w:val="22"/>
          <w:vertAlign w:val="superscript"/>
          <w:lang w:val="en-US"/>
        </w:rPr>
        <w:t>0</w:t>
      </w:r>
      <w:r w:rsidRPr="00D1125E">
        <w:rPr>
          <w:rFonts w:ascii="Arial" w:hAnsi="Arial" w:cs="Arial"/>
          <w:sz w:val="22"/>
          <w:lang w:val="en-US"/>
        </w:rPr>
        <w:t>), and the immediate precursor genotype (1A</w:t>
      </w:r>
      <w:r w:rsidRPr="00D1125E">
        <w:rPr>
          <w:rFonts w:ascii="Arial" w:hAnsi="Arial" w:cs="Arial"/>
          <w:sz w:val="22"/>
          <w:vertAlign w:val="superscript"/>
          <w:lang w:val="en-US"/>
        </w:rPr>
        <w:t>4</w:t>
      </w:r>
      <w:r w:rsidRPr="00D1125E">
        <w:rPr>
          <w:rFonts w:ascii="Arial" w:hAnsi="Arial" w:cs="Arial"/>
          <w:sz w:val="22"/>
          <w:lang w:val="en-US"/>
        </w:rPr>
        <w:t>), 1B</w:t>
      </w:r>
      <w:r w:rsidRPr="00D1125E">
        <w:rPr>
          <w:rFonts w:ascii="Arial" w:hAnsi="Arial" w:cs="Arial"/>
          <w:sz w:val="22"/>
          <w:vertAlign w:val="superscript"/>
          <w:lang w:val="en-US"/>
        </w:rPr>
        <w:t>4</w:t>
      </w:r>
      <w:r w:rsidRPr="00D1125E">
        <w:rPr>
          <w:rFonts w:ascii="Arial" w:hAnsi="Arial" w:cs="Arial"/>
          <w:sz w:val="22"/>
          <w:lang w:val="en-US"/>
        </w:rPr>
        <w:t xml:space="preserve"> grows slowly on minimal medium. The defect is alleviated by addition o</w:t>
      </w:r>
      <w:r w:rsidR="00253624">
        <w:rPr>
          <w:rFonts w:ascii="Arial" w:hAnsi="Arial" w:cs="Arial"/>
          <w:sz w:val="22"/>
          <w:lang w:val="en-US"/>
        </w:rPr>
        <w:t>f uracil and arginine (</w:t>
      </w:r>
      <w:r>
        <w:rPr>
          <w:rFonts w:ascii="Arial" w:hAnsi="Arial" w:cs="Arial"/>
          <w:sz w:val="22"/>
          <w:lang w:val="en-US"/>
        </w:rPr>
        <w:t>S3</w:t>
      </w:r>
      <w:r w:rsidR="00253624">
        <w:rPr>
          <w:rFonts w:ascii="Arial" w:hAnsi="Arial" w:cs="Arial"/>
          <w:sz w:val="22"/>
          <w:lang w:val="en-US"/>
        </w:rPr>
        <w:t xml:space="preserve"> Fig.</w:t>
      </w:r>
      <w:r w:rsidRPr="00D1125E">
        <w:rPr>
          <w:rFonts w:ascii="Arial" w:hAnsi="Arial" w:cs="Arial"/>
          <w:sz w:val="22"/>
          <w:lang w:val="en-US"/>
        </w:rPr>
        <w:t xml:space="preserve">). The </w:t>
      </w:r>
      <w:proofErr w:type="spellStart"/>
      <w:r w:rsidRPr="00D1125E">
        <w:rPr>
          <w:rFonts w:ascii="Arial" w:hAnsi="Arial" w:cs="Arial"/>
          <w:i/>
          <w:sz w:val="22"/>
          <w:lang w:val="en-US"/>
        </w:rPr>
        <w:t>carB</w:t>
      </w:r>
      <w:proofErr w:type="spellEnd"/>
      <w:r w:rsidRPr="00D1125E">
        <w:rPr>
          <w:rFonts w:ascii="Arial" w:hAnsi="Arial" w:cs="Arial"/>
          <w:sz w:val="22"/>
          <w:lang w:val="en-US"/>
        </w:rPr>
        <w:t xml:space="preserve"> mutation thus appears to reduce gene function, thus satisfying conditions that would favor selective amplification of the locus. To test the prediction that changes in </w:t>
      </w:r>
      <w:proofErr w:type="spellStart"/>
      <w:r w:rsidRPr="00D1125E">
        <w:rPr>
          <w:rFonts w:ascii="Arial" w:hAnsi="Arial" w:cs="Arial"/>
          <w:i/>
          <w:sz w:val="22"/>
          <w:lang w:val="en-US"/>
        </w:rPr>
        <w:t>carB</w:t>
      </w:r>
      <w:proofErr w:type="spellEnd"/>
      <w:r w:rsidRPr="00D1125E">
        <w:rPr>
          <w:rFonts w:ascii="Arial" w:hAnsi="Arial" w:cs="Arial"/>
          <w:sz w:val="22"/>
          <w:lang w:val="en-US"/>
        </w:rPr>
        <w:t xml:space="preserve"> copy number underpin switching, the </w:t>
      </w:r>
      <w:proofErr w:type="spellStart"/>
      <w:r w:rsidRPr="00D1125E">
        <w:rPr>
          <w:rFonts w:ascii="Arial" w:hAnsi="Arial" w:cs="Arial"/>
          <w:i/>
          <w:sz w:val="22"/>
          <w:lang w:val="en-US"/>
        </w:rPr>
        <w:t>carB</w:t>
      </w:r>
      <w:proofErr w:type="spellEnd"/>
      <w:r w:rsidRPr="00D1125E">
        <w:rPr>
          <w:rFonts w:ascii="Arial" w:hAnsi="Arial" w:cs="Arial"/>
          <w:sz w:val="22"/>
          <w:lang w:val="en-US"/>
        </w:rPr>
        <w:t xml:space="preserve"> locus was deleted from 1B</w:t>
      </w:r>
      <w:r w:rsidRPr="00D1125E">
        <w:rPr>
          <w:rFonts w:ascii="Arial" w:hAnsi="Arial" w:cs="Arial"/>
          <w:sz w:val="22"/>
          <w:vertAlign w:val="superscript"/>
          <w:lang w:val="en-US"/>
        </w:rPr>
        <w:t>4</w:t>
      </w:r>
      <w:r w:rsidRPr="00D1125E">
        <w:rPr>
          <w:rFonts w:ascii="Arial" w:hAnsi="Arial" w:cs="Arial"/>
          <w:sz w:val="22"/>
          <w:lang w:val="en-US"/>
        </w:rPr>
        <w:t xml:space="preserve">. Removal of </w:t>
      </w:r>
      <w:proofErr w:type="spellStart"/>
      <w:r w:rsidRPr="00D1125E">
        <w:rPr>
          <w:rFonts w:ascii="Arial" w:hAnsi="Arial" w:cs="Arial"/>
          <w:i/>
          <w:sz w:val="22"/>
          <w:lang w:val="en-US"/>
        </w:rPr>
        <w:t>carB</w:t>
      </w:r>
      <w:proofErr w:type="spellEnd"/>
      <w:r w:rsidRPr="00D1125E">
        <w:rPr>
          <w:rFonts w:ascii="Arial" w:hAnsi="Arial" w:cs="Arial"/>
          <w:i/>
          <w:sz w:val="22"/>
          <w:lang w:val="en-US"/>
        </w:rPr>
        <w:t xml:space="preserve"> </w:t>
      </w:r>
      <w:r w:rsidRPr="00D1125E">
        <w:rPr>
          <w:rFonts w:ascii="Arial" w:hAnsi="Arial" w:cs="Arial"/>
          <w:sz w:val="22"/>
          <w:lang w:val="en-US"/>
        </w:rPr>
        <w:t xml:space="preserve">eliminates the possibility that the locus can be targeted by selection: the mutant should be incapable of switching capsulation state. In addition, because amplification of </w:t>
      </w:r>
      <w:proofErr w:type="spellStart"/>
      <w:r w:rsidRPr="00D1125E">
        <w:rPr>
          <w:rFonts w:ascii="Arial" w:hAnsi="Arial" w:cs="Arial"/>
          <w:i/>
          <w:sz w:val="22"/>
          <w:lang w:val="en-US"/>
        </w:rPr>
        <w:t>carB</w:t>
      </w:r>
      <w:proofErr w:type="spellEnd"/>
      <w:r w:rsidRPr="00D1125E">
        <w:rPr>
          <w:rFonts w:ascii="Arial" w:hAnsi="Arial" w:cs="Arial"/>
          <w:sz w:val="22"/>
          <w:lang w:val="en-US"/>
        </w:rPr>
        <w:t xml:space="preserve"> is likely to depend on homologous </w:t>
      </w:r>
      <w:r w:rsidRPr="00D1125E">
        <w:rPr>
          <w:rFonts w:ascii="Arial" w:hAnsi="Arial" w:cs="Arial"/>
          <w:sz w:val="22"/>
          <w:lang w:val="en-US"/>
        </w:rPr>
        <w:lastRenderedPageBreak/>
        <w:t xml:space="preserve">recombination, </w:t>
      </w:r>
      <w:proofErr w:type="spellStart"/>
      <w:r w:rsidRPr="00D1125E">
        <w:rPr>
          <w:rFonts w:ascii="Arial" w:hAnsi="Arial" w:cs="Arial"/>
          <w:i/>
          <w:sz w:val="22"/>
          <w:lang w:val="en-US"/>
        </w:rPr>
        <w:t>recA</w:t>
      </w:r>
      <w:proofErr w:type="spellEnd"/>
      <w:r w:rsidRPr="00D1125E">
        <w:rPr>
          <w:rFonts w:ascii="Arial" w:hAnsi="Arial" w:cs="Arial"/>
          <w:sz w:val="22"/>
          <w:lang w:val="en-US"/>
        </w:rPr>
        <w:t xml:space="preserve"> was deleted from 1B</w:t>
      </w:r>
      <w:r w:rsidRPr="00D1125E">
        <w:rPr>
          <w:rFonts w:ascii="Arial" w:hAnsi="Arial" w:cs="Arial"/>
          <w:sz w:val="22"/>
          <w:vertAlign w:val="superscript"/>
          <w:lang w:val="en-US"/>
        </w:rPr>
        <w:t>4</w:t>
      </w:r>
      <w:r w:rsidRPr="00D1125E">
        <w:rPr>
          <w:rFonts w:ascii="Arial" w:hAnsi="Arial" w:cs="Arial"/>
          <w:sz w:val="22"/>
          <w:lang w:val="en-US"/>
        </w:rPr>
        <w:t xml:space="preserve">. Both </w:t>
      </w:r>
      <w:proofErr w:type="spellStart"/>
      <w:r w:rsidRPr="00D1125E">
        <w:rPr>
          <w:rFonts w:ascii="Arial" w:hAnsi="Arial" w:cs="Arial"/>
          <w:i/>
          <w:sz w:val="22"/>
          <w:lang w:val="en-US"/>
        </w:rPr>
        <w:t>carB</w:t>
      </w:r>
      <w:proofErr w:type="spellEnd"/>
      <w:r w:rsidRPr="00D1125E">
        <w:rPr>
          <w:rFonts w:ascii="Arial" w:hAnsi="Arial" w:cs="Arial"/>
          <w:sz w:val="22"/>
          <w:lang w:val="en-US"/>
        </w:rPr>
        <w:t xml:space="preserve"> and </w:t>
      </w:r>
      <w:proofErr w:type="spellStart"/>
      <w:r w:rsidRPr="00D1125E">
        <w:rPr>
          <w:rFonts w:ascii="Arial" w:hAnsi="Arial" w:cs="Arial"/>
          <w:i/>
          <w:sz w:val="22"/>
          <w:lang w:val="en-US"/>
        </w:rPr>
        <w:t>recA</w:t>
      </w:r>
      <w:proofErr w:type="spellEnd"/>
      <w:r w:rsidRPr="00D1125E">
        <w:rPr>
          <w:rFonts w:ascii="Arial" w:hAnsi="Arial" w:cs="Arial"/>
          <w:i/>
          <w:sz w:val="22"/>
          <w:lang w:val="en-US"/>
        </w:rPr>
        <w:t xml:space="preserve"> </w:t>
      </w:r>
      <w:r w:rsidRPr="00D1125E">
        <w:rPr>
          <w:rFonts w:ascii="Arial" w:hAnsi="Arial" w:cs="Arial"/>
          <w:sz w:val="22"/>
          <w:lang w:val="en-US"/>
        </w:rPr>
        <w:t>mutants showed evidence of opaque and translucent colonies (and Cap</w:t>
      </w:r>
      <w:r w:rsidRPr="00D1125E">
        <w:rPr>
          <w:rFonts w:ascii="Arial" w:hAnsi="Arial" w:cs="Arial"/>
          <w:sz w:val="22"/>
          <w:vertAlign w:val="superscript"/>
          <w:lang w:val="en-US"/>
        </w:rPr>
        <w:t>+</w:t>
      </w:r>
      <w:r w:rsidRPr="00D1125E">
        <w:rPr>
          <w:rFonts w:ascii="Arial" w:hAnsi="Arial" w:cs="Arial"/>
          <w:sz w:val="22"/>
          <w:lang w:val="en-US"/>
        </w:rPr>
        <w:t>/Cap</w:t>
      </w:r>
      <w:r w:rsidRPr="00D1125E">
        <w:rPr>
          <w:rFonts w:ascii="Arial" w:hAnsi="Arial" w:cs="Arial"/>
          <w:sz w:val="22"/>
          <w:vertAlign w:val="superscript"/>
          <w:lang w:val="en-US"/>
        </w:rPr>
        <w:t>-</w:t>
      </w:r>
      <w:r w:rsidRPr="00D1125E">
        <w:rPr>
          <w:rFonts w:ascii="Arial" w:hAnsi="Arial" w:cs="Arial"/>
          <w:sz w:val="22"/>
          <w:lang w:val="en-US"/>
        </w:rPr>
        <w:t xml:space="preserve"> cells) on agar plates. Microscopy was used to determine the proportion of capsulated 1B</w:t>
      </w:r>
      <w:r w:rsidRPr="00D1125E">
        <w:rPr>
          <w:rFonts w:ascii="Arial" w:hAnsi="Arial" w:cs="Arial"/>
          <w:sz w:val="22"/>
          <w:vertAlign w:val="superscript"/>
          <w:lang w:val="en-US"/>
        </w:rPr>
        <w:t>4</w:t>
      </w:r>
      <w:r w:rsidRPr="00D1125E">
        <w:rPr>
          <w:rFonts w:ascii="Arial" w:hAnsi="Arial" w:cs="Arial"/>
          <w:sz w:val="22"/>
          <w:lang w:val="en-US"/>
        </w:rPr>
        <w:t>-∆</w:t>
      </w:r>
      <w:proofErr w:type="spellStart"/>
      <w:r w:rsidRPr="00D1125E">
        <w:rPr>
          <w:rFonts w:ascii="Arial" w:hAnsi="Arial" w:cs="Arial"/>
          <w:i/>
          <w:sz w:val="22"/>
          <w:lang w:val="en-US"/>
        </w:rPr>
        <w:t>carB</w:t>
      </w:r>
      <w:proofErr w:type="spellEnd"/>
      <w:r w:rsidRPr="00D1125E">
        <w:rPr>
          <w:rFonts w:ascii="Arial" w:hAnsi="Arial" w:cs="Arial"/>
          <w:sz w:val="22"/>
          <w:lang w:val="en-US"/>
        </w:rPr>
        <w:t xml:space="preserve"> and 1B</w:t>
      </w:r>
      <w:r w:rsidRPr="00D1125E">
        <w:rPr>
          <w:rFonts w:ascii="Arial" w:hAnsi="Arial" w:cs="Arial"/>
          <w:sz w:val="22"/>
          <w:vertAlign w:val="superscript"/>
          <w:lang w:val="en-US"/>
        </w:rPr>
        <w:t>4</w:t>
      </w:r>
      <w:r w:rsidRPr="00D1125E">
        <w:rPr>
          <w:rFonts w:ascii="Arial" w:hAnsi="Arial" w:cs="Arial"/>
          <w:sz w:val="22"/>
          <w:lang w:val="en-US"/>
        </w:rPr>
        <w:t>-∆</w:t>
      </w:r>
      <w:proofErr w:type="spellStart"/>
      <w:r w:rsidRPr="00D1125E">
        <w:rPr>
          <w:rFonts w:ascii="Arial" w:hAnsi="Arial" w:cs="Arial"/>
          <w:i/>
          <w:sz w:val="22"/>
          <w:lang w:val="en-US"/>
        </w:rPr>
        <w:t>recA</w:t>
      </w:r>
      <w:proofErr w:type="spellEnd"/>
      <w:r w:rsidRPr="00D1125E">
        <w:rPr>
          <w:rFonts w:ascii="Arial" w:hAnsi="Arial" w:cs="Arial"/>
          <w:sz w:val="22"/>
          <w:lang w:val="en-US"/>
        </w:rPr>
        <w:t xml:space="preserve"> cells relative to 1B</w:t>
      </w:r>
      <w:r w:rsidRPr="00D1125E">
        <w:rPr>
          <w:rFonts w:ascii="Arial" w:hAnsi="Arial" w:cs="Arial"/>
          <w:sz w:val="22"/>
          <w:vertAlign w:val="superscript"/>
          <w:lang w:val="en-US"/>
        </w:rPr>
        <w:t>4</w:t>
      </w:r>
      <w:r w:rsidRPr="00D1125E">
        <w:rPr>
          <w:rFonts w:ascii="Arial" w:hAnsi="Arial" w:cs="Arial"/>
          <w:sz w:val="22"/>
          <w:lang w:val="en-US"/>
        </w:rPr>
        <w:t>. No significant difference was observed in 1B</w:t>
      </w:r>
      <w:r w:rsidRPr="00D1125E">
        <w:rPr>
          <w:rFonts w:ascii="Arial" w:hAnsi="Arial" w:cs="Arial"/>
          <w:sz w:val="22"/>
          <w:vertAlign w:val="superscript"/>
          <w:lang w:val="en-US"/>
        </w:rPr>
        <w:t>4</w:t>
      </w:r>
      <w:r w:rsidRPr="00D1125E">
        <w:rPr>
          <w:rFonts w:ascii="Arial" w:hAnsi="Arial" w:cs="Arial"/>
          <w:sz w:val="22"/>
          <w:lang w:val="en-US"/>
        </w:rPr>
        <w:t xml:space="preserve"> compared to 1B</w:t>
      </w:r>
      <w:r w:rsidRPr="00D1125E">
        <w:rPr>
          <w:rFonts w:ascii="Arial" w:hAnsi="Arial" w:cs="Arial"/>
          <w:sz w:val="22"/>
          <w:vertAlign w:val="superscript"/>
          <w:lang w:val="en-US"/>
        </w:rPr>
        <w:t>4</w:t>
      </w:r>
      <w:r w:rsidRPr="00D1125E">
        <w:rPr>
          <w:rFonts w:ascii="Arial" w:hAnsi="Arial" w:cs="Arial"/>
          <w:sz w:val="22"/>
          <w:lang w:val="en-US"/>
        </w:rPr>
        <w:t>-∆</w:t>
      </w:r>
      <w:proofErr w:type="spellStart"/>
      <w:r w:rsidRPr="00D1125E">
        <w:rPr>
          <w:rFonts w:ascii="Arial" w:hAnsi="Arial" w:cs="Arial"/>
          <w:i/>
          <w:sz w:val="22"/>
          <w:lang w:val="en-US"/>
        </w:rPr>
        <w:t>carB</w:t>
      </w:r>
      <w:proofErr w:type="spellEnd"/>
      <w:r w:rsidRPr="00D1125E">
        <w:rPr>
          <w:rFonts w:ascii="Arial" w:hAnsi="Arial" w:cs="Arial"/>
          <w:sz w:val="22"/>
          <w:lang w:val="en-US"/>
        </w:rPr>
        <w:t xml:space="preserve"> (</w:t>
      </w:r>
      <w:r w:rsidRPr="00D1125E">
        <w:rPr>
          <w:rFonts w:ascii="Arial" w:hAnsi="Arial" w:cs="Arial"/>
          <w:i/>
          <w:sz w:val="22"/>
          <w:lang w:val="en-US"/>
        </w:rPr>
        <w:t>t</w:t>
      </w:r>
      <w:r w:rsidRPr="00D1125E">
        <w:rPr>
          <w:rFonts w:ascii="Arial" w:hAnsi="Arial" w:cs="Arial"/>
          <w:sz w:val="22"/>
          <w:lang w:val="en-US"/>
        </w:rPr>
        <w:t xml:space="preserve">-test </w:t>
      </w:r>
      <w:r w:rsidRPr="00D1125E">
        <w:rPr>
          <w:rFonts w:ascii="Arial" w:hAnsi="Arial" w:cs="Arial"/>
          <w:i/>
          <w:sz w:val="22"/>
          <w:lang w:val="en-US"/>
        </w:rPr>
        <w:t>p</w:t>
      </w:r>
      <w:r w:rsidRPr="00D1125E">
        <w:rPr>
          <w:rFonts w:ascii="Arial" w:hAnsi="Arial" w:cs="Arial"/>
          <w:sz w:val="22"/>
          <w:lang w:val="en-US"/>
        </w:rPr>
        <w:t>=0.307) or 1B</w:t>
      </w:r>
      <w:r w:rsidRPr="00D1125E">
        <w:rPr>
          <w:rFonts w:ascii="Arial" w:hAnsi="Arial" w:cs="Arial"/>
          <w:sz w:val="22"/>
          <w:vertAlign w:val="superscript"/>
          <w:lang w:val="en-US"/>
        </w:rPr>
        <w:t>4</w:t>
      </w:r>
      <w:r w:rsidRPr="00D1125E">
        <w:rPr>
          <w:rFonts w:ascii="Arial" w:hAnsi="Arial" w:cs="Arial"/>
          <w:sz w:val="22"/>
          <w:lang w:val="en-US"/>
        </w:rPr>
        <w:t>-∆</w:t>
      </w:r>
      <w:proofErr w:type="spellStart"/>
      <w:r w:rsidRPr="00D1125E">
        <w:rPr>
          <w:rFonts w:ascii="Arial" w:hAnsi="Arial" w:cs="Arial"/>
          <w:i/>
          <w:sz w:val="22"/>
          <w:lang w:val="en-US"/>
        </w:rPr>
        <w:t>recA</w:t>
      </w:r>
      <w:proofErr w:type="spellEnd"/>
      <w:r w:rsidRPr="00D1125E">
        <w:rPr>
          <w:rFonts w:ascii="Arial" w:hAnsi="Arial" w:cs="Arial"/>
          <w:sz w:val="22"/>
          <w:lang w:val="en-US"/>
        </w:rPr>
        <w:t xml:space="preserve"> (</w:t>
      </w:r>
      <w:r w:rsidRPr="00D1125E">
        <w:rPr>
          <w:rFonts w:ascii="Arial" w:hAnsi="Arial" w:cs="Arial"/>
          <w:i/>
          <w:sz w:val="22"/>
          <w:lang w:val="en-US"/>
        </w:rPr>
        <w:t>t</w:t>
      </w:r>
      <w:r w:rsidRPr="00D1125E">
        <w:rPr>
          <w:rFonts w:ascii="Arial" w:hAnsi="Arial" w:cs="Arial"/>
          <w:sz w:val="22"/>
          <w:lang w:val="en-US"/>
        </w:rPr>
        <w:t xml:space="preserve">-test </w:t>
      </w:r>
      <w:r w:rsidRPr="00D1125E">
        <w:rPr>
          <w:rFonts w:ascii="Arial" w:hAnsi="Arial" w:cs="Arial"/>
          <w:i/>
          <w:sz w:val="22"/>
          <w:lang w:val="en-US"/>
        </w:rPr>
        <w:t>p</w:t>
      </w:r>
      <w:r w:rsidRPr="00D1125E">
        <w:rPr>
          <w:rFonts w:ascii="Arial" w:hAnsi="Arial" w:cs="Arial"/>
          <w:sz w:val="22"/>
          <w:lang w:val="en-US"/>
        </w:rPr>
        <w:t>=0.847).</w:t>
      </w:r>
      <w:r w:rsidRPr="00D1125E">
        <w:rPr>
          <w:rFonts w:ascii="Arial" w:hAnsi="Arial" w:cs="Arial"/>
          <w:sz w:val="22"/>
        </w:rPr>
        <w:t xml:space="preserve"> Finally, high-throughput genome sequencing of 1B</w:t>
      </w:r>
      <w:r w:rsidRPr="00D1125E">
        <w:rPr>
          <w:rFonts w:ascii="Arial" w:hAnsi="Arial" w:cs="Arial"/>
          <w:sz w:val="22"/>
          <w:vertAlign w:val="superscript"/>
        </w:rPr>
        <w:t>4</w:t>
      </w:r>
      <w:r w:rsidRPr="00D1125E">
        <w:rPr>
          <w:rFonts w:ascii="Arial" w:hAnsi="Arial" w:cs="Arial"/>
          <w:sz w:val="22"/>
        </w:rPr>
        <w:t xml:space="preserve"> showed no evidence of amplification (or reduction) at </w:t>
      </w:r>
      <w:proofErr w:type="spellStart"/>
      <w:r w:rsidRPr="00D1125E">
        <w:rPr>
          <w:rFonts w:ascii="Arial" w:hAnsi="Arial" w:cs="Arial"/>
          <w:i/>
          <w:sz w:val="22"/>
        </w:rPr>
        <w:t>carB</w:t>
      </w:r>
      <w:proofErr w:type="spellEnd"/>
      <w:r w:rsidRPr="00D1125E">
        <w:rPr>
          <w:rFonts w:ascii="Arial" w:hAnsi="Arial" w:cs="Arial"/>
          <w:sz w:val="22"/>
        </w:rPr>
        <w:t>, or elsewhere in the genome. Further, no genetic differences were detected between Cap</w:t>
      </w:r>
      <w:r w:rsidRPr="00D1125E">
        <w:rPr>
          <w:rFonts w:ascii="Arial" w:hAnsi="Arial" w:cs="Arial"/>
          <w:sz w:val="22"/>
          <w:vertAlign w:val="superscript"/>
        </w:rPr>
        <w:t>+</w:t>
      </w:r>
      <w:r w:rsidRPr="00D1125E">
        <w:rPr>
          <w:rFonts w:ascii="Arial" w:hAnsi="Arial" w:cs="Arial"/>
          <w:sz w:val="22"/>
        </w:rPr>
        <w:t xml:space="preserve"> and Cap</w:t>
      </w:r>
      <w:r w:rsidRPr="00D1125E">
        <w:rPr>
          <w:rFonts w:ascii="Arial" w:hAnsi="Arial" w:cs="Arial"/>
          <w:sz w:val="22"/>
          <w:vertAlign w:val="superscript"/>
        </w:rPr>
        <w:t>-</w:t>
      </w:r>
      <w:r w:rsidRPr="00D1125E">
        <w:rPr>
          <w:rFonts w:ascii="Arial" w:hAnsi="Arial" w:cs="Arial"/>
          <w:sz w:val="22"/>
        </w:rPr>
        <w:t xml:space="preserve"> cells. Together these data led to rejection of the amplification model.</w:t>
      </w:r>
    </w:p>
    <w:p w14:paraId="7DDFDD3C" w14:textId="77777777" w:rsidR="00581A72" w:rsidRPr="00D1125E" w:rsidRDefault="00581A72" w:rsidP="00C851A0">
      <w:pPr>
        <w:spacing w:line="480" w:lineRule="auto"/>
        <w:ind w:firstLine="720"/>
        <w:jc w:val="both"/>
        <w:rPr>
          <w:rFonts w:ascii="Arial" w:hAnsi="Arial" w:cs="Arial"/>
          <w:sz w:val="22"/>
        </w:rPr>
      </w:pPr>
    </w:p>
    <w:p w14:paraId="10373552" w14:textId="77777777" w:rsidR="00581A72" w:rsidRPr="00D1125E" w:rsidRDefault="00581A72">
      <w:pPr>
        <w:rPr>
          <w:rFonts w:ascii="Arial" w:hAnsi="Arial"/>
          <w:sz w:val="22"/>
        </w:rPr>
      </w:pPr>
    </w:p>
    <w:p w14:paraId="31053B45" w14:textId="77777777" w:rsidR="00581A72" w:rsidRPr="00D1125E" w:rsidRDefault="00581A72" w:rsidP="00D1125E">
      <w:pPr>
        <w:spacing w:line="480" w:lineRule="auto"/>
        <w:rPr>
          <w:rFonts w:ascii="Arial" w:hAnsi="Arial"/>
          <w:sz w:val="22"/>
        </w:rPr>
      </w:pPr>
      <w:r w:rsidRPr="00D1125E">
        <w:rPr>
          <w:rFonts w:ascii="Arial" w:hAnsi="Arial"/>
          <w:b/>
          <w:sz w:val="22"/>
        </w:rPr>
        <w:t>References</w:t>
      </w:r>
    </w:p>
    <w:p w14:paraId="30BF8D8D" w14:textId="77777777" w:rsidR="00581A72" w:rsidRPr="00D1125E" w:rsidRDefault="00581A72" w:rsidP="00D1125E">
      <w:pPr>
        <w:jc w:val="center"/>
        <w:rPr>
          <w:b/>
          <w:sz w:val="2"/>
        </w:rPr>
      </w:pPr>
      <w:r w:rsidRPr="00D1125E">
        <w:rPr>
          <w:rFonts w:ascii="Arial" w:hAnsi="Arial"/>
          <w:sz w:val="22"/>
        </w:rPr>
        <w:fldChar w:fldCharType="begin"/>
      </w:r>
      <w:r w:rsidRPr="00D1125E">
        <w:rPr>
          <w:rFonts w:ascii="Arial" w:hAnsi="Arial"/>
          <w:sz w:val="22"/>
        </w:rPr>
        <w:instrText xml:space="preserve"> ADDIN EN.REFLIST </w:instrText>
      </w:r>
      <w:r w:rsidRPr="00D1125E">
        <w:rPr>
          <w:rFonts w:ascii="Arial" w:hAnsi="Arial"/>
          <w:sz w:val="22"/>
        </w:rPr>
        <w:fldChar w:fldCharType="separate"/>
      </w:r>
      <w:r w:rsidRPr="00D1125E">
        <w:rPr>
          <w:b/>
          <w:sz w:val="2"/>
        </w:rPr>
        <w:t>References</w:t>
      </w:r>
    </w:p>
    <w:p w14:paraId="3FA618A3" w14:textId="77777777" w:rsidR="00581A72" w:rsidRPr="00D1125E" w:rsidRDefault="00581A72" w:rsidP="00D1125E">
      <w:pPr>
        <w:jc w:val="center"/>
        <w:rPr>
          <w:b/>
          <w:sz w:val="2"/>
        </w:rPr>
      </w:pPr>
    </w:p>
    <w:p w14:paraId="620C0AD1" w14:textId="77777777" w:rsidR="00581A72" w:rsidRPr="00D1125E" w:rsidRDefault="00581A72" w:rsidP="00D1125E">
      <w:pPr>
        <w:spacing w:line="480" w:lineRule="auto"/>
        <w:ind w:left="720" w:hanging="720"/>
        <w:jc w:val="both"/>
        <w:rPr>
          <w:rFonts w:ascii="Arial" w:hAnsi="Arial"/>
          <w:sz w:val="22"/>
        </w:rPr>
      </w:pPr>
      <w:r w:rsidRPr="00D1125E">
        <w:rPr>
          <w:rFonts w:ascii="Arial" w:hAnsi="Arial"/>
          <w:sz w:val="22"/>
        </w:rPr>
        <w:t>1. Beaumont HJE, Gallie J, Kost C, Ferguson GC, Rainey PB (2009) Experimental evolution of bet hedging. Nature 462: 90-94.</w:t>
      </w:r>
    </w:p>
    <w:p w14:paraId="0307D975" w14:textId="77777777" w:rsidR="00581A72" w:rsidRPr="00D1125E" w:rsidRDefault="00581A72" w:rsidP="00D1125E">
      <w:pPr>
        <w:spacing w:line="480" w:lineRule="auto"/>
        <w:ind w:left="720" w:hanging="720"/>
        <w:jc w:val="both"/>
        <w:rPr>
          <w:rFonts w:ascii="Arial" w:hAnsi="Arial"/>
          <w:sz w:val="22"/>
        </w:rPr>
      </w:pPr>
      <w:r w:rsidRPr="00D1125E">
        <w:rPr>
          <w:rFonts w:ascii="Arial" w:hAnsi="Arial"/>
          <w:sz w:val="22"/>
        </w:rPr>
        <w:t>2. Moxon ER, Rainey PB, Nowak MA, Lenski RE (1994) Adaptive evolution of highly mutable loci in pathogenic bacteria. Curr Biol 4: 24-33.</w:t>
      </w:r>
    </w:p>
    <w:p w14:paraId="5F2E15B3" w14:textId="77777777" w:rsidR="00581A72" w:rsidRPr="00D1125E" w:rsidRDefault="00581A72" w:rsidP="00D1125E">
      <w:pPr>
        <w:spacing w:line="480" w:lineRule="auto"/>
        <w:ind w:left="720" w:hanging="720"/>
        <w:jc w:val="both"/>
        <w:rPr>
          <w:rFonts w:ascii="Arial" w:hAnsi="Arial"/>
          <w:sz w:val="22"/>
        </w:rPr>
      </w:pPr>
      <w:r w:rsidRPr="00D1125E">
        <w:rPr>
          <w:rFonts w:ascii="Arial" w:hAnsi="Arial"/>
          <w:sz w:val="22"/>
        </w:rPr>
        <w:t xml:space="preserve">3. Andersson DI, Slechta ES, Roth JR (1998) Evidence that gene amplification underlies adaptive mutability of the bacterial </w:t>
      </w:r>
      <w:r w:rsidRPr="00D1125E">
        <w:rPr>
          <w:rFonts w:ascii="Arial" w:hAnsi="Arial"/>
          <w:i/>
          <w:sz w:val="22"/>
        </w:rPr>
        <w:t>lac</w:t>
      </w:r>
      <w:r w:rsidRPr="00D1125E">
        <w:rPr>
          <w:rFonts w:ascii="Arial" w:hAnsi="Arial"/>
          <w:sz w:val="22"/>
        </w:rPr>
        <w:t xml:space="preserve"> operon. Science 282: 1133-1135.</w:t>
      </w:r>
    </w:p>
    <w:p w14:paraId="060356B7" w14:textId="77777777" w:rsidR="00581A72" w:rsidRPr="00D1125E" w:rsidRDefault="00581A72" w:rsidP="00D1125E">
      <w:pPr>
        <w:jc w:val="both"/>
      </w:pPr>
    </w:p>
    <w:p w14:paraId="49225710" w14:textId="77777777" w:rsidR="00581A72" w:rsidRPr="00D1125E" w:rsidRDefault="00581A72" w:rsidP="00D1125E">
      <w:pPr>
        <w:ind w:left="720" w:hanging="720"/>
        <w:jc w:val="both"/>
        <w:rPr>
          <w:rFonts w:ascii="Arial" w:hAnsi="Arial"/>
          <w:sz w:val="22"/>
        </w:rPr>
      </w:pPr>
      <w:r w:rsidRPr="00D1125E">
        <w:rPr>
          <w:rFonts w:ascii="Arial" w:hAnsi="Arial"/>
          <w:sz w:val="22"/>
        </w:rPr>
        <w:fldChar w:fldCharType="end"/>
      </w:r>
    </w:p>
    <w:sectPr w:rsidR="00581A72" w:rsidRPr="00D1125E" w:rsidSect="00C851A0">
      <w:footerReference w:type="even" r:id="rId7"/>
      <w:footerReference w:type="default" r:id="rId8"/>
      <w:pgSz w:w="11900" w:h="16840"/>
      <w:pgMar w:top="1134" w:right="1134" w:bottom="1134" w:left="1134" w:header="851"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F2D16D" w14:textId="77777777" w:rsidR="00581A72" w:rsidRDefault="00581A72" w:rsidP="000A4DA8">
      <w:r>
        <w:separator/>
      </w:r>
    </w:p>
  </w:endnote>
  <w:endnote w:type="continuationSeparator" w:id="0">
    <w:p w14:paraId="32A41852" w14:textId="77777777" w:rsidR="00581A72" w:rsidRDefault="00581A72" w:rsidP="000A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1D1F8" w14:textId="77777777" w:rsidR="00581A72" w:rsidRDefault="00581A72" w:rsidP="00CD73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31157F" w14:textId="77777777" w:rsidR="00581A72" w:rsidRDefault="00581A72" w:rsidP="00D112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FE60B" w14:textId="77777777" w:rsidR="00581A72" w:rsidRPr="00D1125E" w:rsidRDefault="00581A72" w:rsidP="00CD73B0">
    <w:pPr>
      <w:pStyle w:val="Footer"/>
      <w:framePr w:wrap="around" w:vAnchor="text" w:hAnchor="margin" w:xAlign="right" w:y="1"/>
      <w:rPr>
        <w:rStyle w:val="PageNumber"/>
      </w:rPr>
    </w:pPr>
    <w:r w:rsidRPr="00D1125E">
      <w:rPr>
        <w:rStyle w:val="PageNumber"/>
        <w:rFonts w:ascii="Arial" w:hAnsi="Arial"/>
        <w:sz w:val="20"/>
      </w:rPr>
      <w:fldChar w:fldCharType="begin"/>
    </w:r>
    <w:r w:rsidRPr="00D1125E">
      <w:rPr>
        <w:rStyle w:val="PageNumber"/>
        <w:rFonts w:ascii="Arial" w:hAnsi="Arial"/>
        <w:sz w:val="20"/>
      </w:rPr>
      <w:instrText xml:space="preserve">PAGE  </w:instrText>
    </w:r>
    <w:r w:rsidRPr="00D1125E">
      <w:rPr>
        <w:rStyle w:val="PageNumber"/>
        <w:rFonts w:ascii="Arial" w:hAnsi="Arial"/>
        <w:sz w:val="20"/>
      </w:rPr>
      <w:fldChar w:fldCharType="separate"/>
    </w:r>
    <w:r w:rsidR="00253624">
      <w:rPr>
        <w:rStyle w:val="PageNumber"/>
        <w:rFonts w:ascii="Arial" w:hAnsi="Arial"/>
        <w:noProof/>
        <w:sz w:val="20"/>
      </w:rPr>
      <w:t>1</w:t>
    </w:r>
    <w:r w:rsidRPr="00D1125E">
      <w:rPr>
        <w:rStyle w:val="PageNumber"/>
        <w:rFonts w:ascii="Arial" w:hAnsi="Arial"/>
        <w:sz w:val="20"/>
      </w:rPr>
      <w:fldChar w:fldCharType="end"/>
    </w:r>
  </w:p>
  <w:p w14:paraId="6A18F51B" w14:textId="77777777" w:rsidR="00581A72" w:rsidRDefault="00581A72" w:rsidP="00D112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2DD93" w14:textId="77777777" w:rsidR="00581A72" w:rsidRDefault="00581A72" w:rsidP="000A4DA8">
      <w:r>
        <w:separator/>
      </w:r>
    </w:p>
  </w:footnote>
  <w:footnote w:type="continuationSeparator" w:id="0">
    <w:p w14:paraId="5AC2A6BB" w14:textId="77777777" w:rsidR="00581A72" w:rsidRDefault="00581A72" w:rsidP="000A4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0&lt;/Enabled&gt;&lt;ScanUnformatted&gt;1&lt;/ScanUnformatted&gt;&lt;ScanChanges&gt;1&lt;/ScanChanges&gt;&lt;/ENInstantFormat&gt;"/>
    <w:docVar w:name="EN.Layout" w:val="&lt;ENLayout&gt;&lt;Style&gt;PLoS Biology&lt;/Style&gt;&lt;LeftDelim&gt;{&lt;/LeftDelim&gt;&lt;RightDelim&gt;}&lt;/RightDelim&gt;&lt;FontName&gt;Cambria&lt;/FontName&gt;&lt;FontSize&gt;12&lt;/FontSize&gt;&lt;ReflistTitle&gt;&lt;style face=&quot;bold&quot; size=&quot;1&quot;&gt;References&lt;/style&gt;&lt;/ReflistTitle&gt;&lt;StartingRefnum&gt;1&lt;/StartingRefnum&gt;&lt;FirstLineIndent&gt;0&lt;/FirstLineIndent&gt;&lt;HangingIndent&gt;720&lt;/HangingIndent&gt;&lt;LineSpacing&gt;0&lt;/LineSpacing&gt;&lt;SpaceAfter&gt;0&lt;/SpaceAfter&gt;&lt;/ENLayout&gt;"/>
    <w:docVar w:name="EN.Libraries" w:val="&lt;ENLibraries&gt;&lt;Libraries&gt;&lt;item&gt;Jenna&amp;apos;s Library.enl&lt;/item&gt;&lt;/Libraries&gt;&lt;/ENLibraries&gt;"/>
  </w:docVars>
  <w:rsids>
    <w:rsidRoot w:val="00C851A0"/>
    <w:rsid w:val="000A4DA8"/>
    <w:rsid w:val="000C5213"/>
    <w:rsid w:val="00253624"/>
    <w:rsid w:val="0049674D"/>
    <w:rsid w:val="00581A72"/>
    <w:rsid w:val="005C7946"/>
    <w:rsid w:val="0071339C"/>
    <w:rsid w:val="00842850"/>
    <w:rsid w:val="00A32374"/>
    <w:rsid w:val="00C01479"/>
    <w:rsid w:val="00C851A0"/>
    <w:rsid w:val="00CD73B0"/>
    <w:rsid w:val="00D112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C4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1A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C851A0"/>
    <w:pPr>
      <w:spacing w:before="240" w:after="240" w:line="360" w:lineRule="auto"/>
      <w:jc w:val="both"/>
    </w:pPr>
    <w:rPr>
      <w:rFonts w:ascii="Times New Roman" w:hAnsi="Times New Roman"/>
      <w:sz w:val="24"/>
      <w:lang w:val="en-GB"/>
    </w:rPr>
  </w:style>
  <w:style w:type="paragraph" w:styleId="Footer">
    <w:name w:val="footer"/>
    <w:basedOn w:val="Normal"/>
    <w:link w:val="FooterChar"/>
    <w:uiPriority w:val="99"/>
    <w:semiHidden/>
    <w:rsid w:val="00D1125E"/>
    <w:pPr>
      <w:tabs>
        <w:tab w:val="center" w:pos="4320"/>
        <w:tab w:val="right" w:pos="8640"/>
      </w:tabs>
    </w:pPr>
  </w:style>
  <w:style w:type="character" w:customStyle="1" w:styleId="FooterChar">
    <w:name w:val="Footer Char"/>
    <w:basedOn w:val="DefaultParagraphFont"/>
    <w:link w:val="Footer"/>
    <w:uiPriority w:val="99"/>
    <w:semiHidden/>
    <w:rPr>
      <w:rFonts w:cs="Times New Roman"/>
      <w:sz w:val="24"/>
      <w:lang w:val="en-GB"/>
    </w:rPr>
  </w:style>
  <w:style w:type="character" w:styleId="PageNumber">
    <w:name w:val="page number"/>
    <w:basedOn w:val="DefaultParagraphFont"/>
    <w:uiPriority w:val="99"/>
    <w:rsid w:val="00D1125E"/>
    <w:rPr>
      <w:rFonts w:cs="Times New Roman"/>
    </w:rPr>
  </w:style>
  <w:style w:type="paragraph" w:styleId="Header">
    <w:name w:val="header"/>
    <w:basedOn w:val="Normal"/>
    <w:link w:val="HeaderChar"/>
    <w:uiPriority w:val="99"/>
    <w:rsid w:val="00D1125E"/>
    <w:pPr>
      <w:tabs>
        <w:tab w:val="center" w:pos="4320"/>
        <w:tab w:val="right" w:pos="8640"/>
      </w:tabs>
    </w:pPr>
  </w:style>
  <w:style w:type="character" w:customStyle="1" w:styleId="HeaderChar">
    <w:name w:val="Header Char"/>
    <w:basedOn w:val="DefaultParagraphFont"/>
    <w:link w:val="Header"/>
    <w:uiPriority w:val="99"/>
    <w:semiHidden/>
    <w:rPr>
      <w:rFonts w:cs="Times New Roman"/>
      <w:sz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921</Words>
  <Characters>5256</Characters>
  <Application>Microsoft Macintosh Word</Application>
  <DocSecurity>0</DocSecurity>
  <Lines>43</Lines>
  <Paragraphs>12</Paragraphs>
  <ScaleCrop>false</ScaleCrop>
  <Company>Eawag</Company>
  <LinksUpToDate>false</LinksUpToDate>
  <CharactersWithSpaces>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Gallie</dc:creator>
  <cp:keywords/>
  <cp:lastModifiedBy>Jenna Gallie</cp:lastModifiedBy>
  <cp:revision>6</cp:revision>
  <dcterms:created xsi:type="dcterms:W3CDTF">2015-02-05T13:58:00Z</dcterms:created>
  <dcterms:modified xsi:type="dcterms:W3CDTF">2015-02-05T15:31:00Z</dcterms:modified>
</cp:coreProperties>
</file>