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B844" w14:textId="19E50884" w:rsidR="009C15B0" w:rsidRPr="00513DAE" w:rsidRDefault="00513DAE" w:rsidP="009C15B0">
      <w:pPr>
        <w:widowControl w:val="0"/>
        <w:spacing w:line="480" w:lineRule="auto"/>
        <w:rPr>
          <w:b/>
          <w:sz w:val="24"/>
          <w:szCs w:val="24"/>
        </w:rPr>
      </w:pPr>
      <w:r w:rsidRPr="00513DAE">
        <w:rPr>
          <w:b/>
          <w:sz w:val="24"/>
          <w:szCs w:val="24"/>
        </w:rPr>
        <w:t>Text S1 -</w:t>
      </w:r>
      <w:r w:rsidR="009C15B0" w:rsidRPr="00513DAE">
        <w:rPr>
          <w:b/>
          <w:sz w:val="24"/>
          <w:szCs w:val="24"/>
        </w:rPr>
        <w:t xml:space="preserve"> Chronic herbivory </w:t>
      </w:r>
    </w:p>
    <w:p w14:paraId="3D73F0B4" w14:textId="77777777" w:rsidR="009C15B0" w:rsidRPr="005320EC" w:rsidRDefault="009C15B0" w:rsidP="009C15B0">
      <w:pPr>
        <w:widowControl w:val="0"/>
        <w:spacing w:line="480" w:lineRule="auto"/>
        <w:rPr>
          <w:sz w:val="24"/>
          <w:szCs w:val="24"/>
        </w:rPr>
      </w:pPr>
      <w:r w:rsidRPr="005320EC">
        <w:rPr>
          <w:sz w:val="24"/>
          <w:szCs w:val="24"/>
        </w:rPr>
        <w:t xml:space="preserve">Here we consider an alternate version of our model to ask whether ant defense against chronic herbivory throughout the growing season could drive the observed variation in the mutualism outcome. The dynamics of the tree’s and the ant colony’s growth are identical to Model 1, except that the constant background herbivory rate </w:t>
      </w:r>
      <w:r w:rsidRPr="005320EC">
        <w:rPr>
          <w:i/>
          <w:sz w:val="24"/>
          <w:szCs w:val="24"/>
        </w:rPr>
        <w:t>h</w:t>
      </w:r>
      <w:r w:rsidRPr="005320EC">
        <w:rPr>
          <w:sz w:val="24"/>
          <w:szCs w:val="24"/>
        </w:rPr>
        <w:t xml:space="preserve"> is now replaced by a realized herbivory rate </w:t>
      </w:r>
      <w:r w:rsidRPr="005320EC">
        <w:rPr>
          <w:i/>
          <w:sz w:val="24"/>
          <w:szCs w:val="24"/>
        </w:rPr>
        <w:t>h(W/L)</w:t>
      </w:r>
      <w:r w:rsidRPr="005320EC">
        <w:rPr>
          <w:sz w:val="24"/>
          <w:szCs w:val="24"/>
        </w:rPr>
        <w:t xml:space="preserve"> which is a function of the ant density on the tree: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61"/>
        <w:gridCol w:w="1915"/>
      </w:tblGrid>
      <w:tr w:rsidR="009C15B0" w:rsidRPr="005320EC" w14:paraId="3E5576A3" w14:textId="77777777" w:rsidTr="00DB36D3">
        <w:trPr>
          <w:jc w:val="center"/>
        </w:trPr>
        <w:tc>
          <w:tcPr>
            <w:tcW w:w="4000" w:type="pct"/>
            <w:vAlign w:val="center"/>
          </w:tcPr>
          <w:p w14:paraId="23E607BA" w14:textId="77777777" w:rsidR="009C15B0" w:rsidRPr="005320EC" w:rsidRDefault="009C15B0" w:rsidP="00DB36D3">
            <w:pPr>
              <w:spacing w:line="480" w:lineRule="auto"/>
              <w:ind w:firstLine="720"/>
            </w:pPr>
            <w:r w:rsidRPr="005320EC">
              <w:rPr>
                <w:rFonts w:ascii="Times New Roman" w:eastAsia="Calibri" w:hAnsi="Times New Roman" w:cs="Times New Roman"/>
                <w:position w:val="-26"/>
                <w:sz w:val="20"/>
                <w:szCs w:val="20"/>
              </w:rPr>
              <w:object w:dxaOrig="3980" w:dyaOrig="620" w14:anchorId="35303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31.2pt" o:ole="">
                  <v:imagedata r:id="rId8" o:title=""/>
                </v:shape>
                <o:OLEObject Type="Embed" ProgID="Equation.3" ShapeID="_x0000_i1025" DrawAspect="Content" ObjectID="_1314173226" r:id="rId9"/>
              </w:object>
            </w:r>
          </w:p>
        </w:tc>
        <w:tc>
          <w:tcPr>
            <w:tcW w:w="1000" w:type="pct"/>
            <w:vAlign w:val="center"/>
          </w:tcPr>
          <w:p w14:paraId="4AC33858" w14:textId="77777777" w:rsidR="009C15B0" w:rsidRPr="005320EC" w:rsidRDefault="009C15B0" w:rsidP="00DB36D3">
            <w:pPr>
              <w:spacing w:line="480" w:lineRule="auto"/>
              <w:ind w:firstLine="720"/>
            </w:pPr>
            <w:r w:rsidRPr="005320EC">
              <w:t>(S1)</w:t>
            </w:r>
          </w:p>
        </w:tc>
      </w:tr>
      <w:tr w:rsidR="009C15B0" w:rsidRPr="005320EC" w14:paraId="28BDF517" w14:textId="77777777" w:rsidTr="00DB36D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73"/>
        </w:trPr>
        <w:tc>
          <w:tcPr>
            <w:tcW w:w="4000" w:type="pct"/>
            <w:tcBorders>
              <w:top w:val="nil"/>
              <w:left w:val="nil"/>
              <w:bottom w:val="nil"/>
              <w:right w:val="nil"/>
            </w:tcBorders>
          </w:tcPr>
          <w:p w14:paraId="6FB52FEA" w14:textId="77777777" w:rsidR="009C15B0" w:rsidRPr="005320EC" w:rsidRDefault="009C15B0" w:rsidP="00DB36D3">
            <w:pPr>
              <w:spacing w:line="480" w:lineRule="auto"/>
              <w:ind w:firstLine="720"/>
            </w:pPr>
            <w:r w:rsidRPr="005320EC">
              <w:rPr>
                <w:rFonts w:ascii="Times New Roman" w:eastAsia="Calibri" w:hAnsi="Times New Roman" w:cs="Times New Roman"/>
                <w:position w:val="-8"/>
                <w:sz w:val="20"/>
                <w:szCs w:val="20"/>
              </w:rPr>
              <w:object w:dxaOrig="2480" w:dyaOrig="260" w14:anchorId="1502BBDA">
                <v:shape id="_x0000_i1026" type="#_x0000_t75" style="width:124pt;height:13.6pt" o:ole="">
                  <v:imagedata r:id="rId10" o:title=""/>
                </v:shape>
                <o:OLEObject Type="Embed" ProgID="Equation.3" ShapeID="_x0000_i1026" DrawAspect="Content" ObjectID="_1314173227" r:id="rId11"/>
              </w:object>
            </w:r>
          </w:p>
        </w:tc>
        <w:tc>
          <w:tcPr>
            <w:tcW w:w="1000" w:type="pct"/>
            <w:tcBorders>
              <w:top w:val="nil"/>
              <w:left w:val="nil"/>
              <w:bottom w:val="nil"/>
              <w:right w:val="nil"/>
            </w:tcBorders>
          </w:tcPr>
          <w:p w14:paraId="14FC2902" w14:textId="77777777" w:rsidR="009C15B0" w:rsidRPr="005320EC" w:rsidRDefault="009C15B0" w:rsidP="00DB36D3">
            <w:pPr>
              <w:spacing w:line="480" w:lineRule="auto"/>
              <w:ind w:firstLine="720"/>
            </w:pPr>
            <w:r w:rsidRPr="005320EC">
              <w:t>(S2)</w:t>
            </w:r>
          </w:p>
        </w:tc>
      </w:tr>
    </w:tbl>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61"/>
        <w:gridCol w:w="1915"/>
      </w:tblGrid>
      <w:tr w:rsidR="009C15B0" w:rsidRPr="005320EC" w14:paraId="1201C09B" w14:textId="77777777" w:rsidTr="00DB36D3">
        <w:trPr>
          <w:trHeight w:val="773"/>
          <w:jc w:val="center"/>
        </w:trPr>
        <w:tc>
          <w:tcPr>
            <w:tcW w:w="4000" w:type="pct"/>
            <w:vAlign w:val="center"/>
          </w:tcPr>
          <w:p w14:paraId="1A703226" w14:textId="77777777" w:rsidR="009C15B0" w:rsidRPr="005320EC" w:rsidRDefault="009C15B0" w:rsidP="00DB36D3">
            <w:pPr>
              <w:spacing w:line="480" w:lineRule="auto"/>
              <w:ind w:firstLine="720"/>
            </w:pPr>
            <w:r w:rsidRPr="005320EC">
              <w:rPr>
                <w:rFonts w:ascii="Times New Roman" w:eastAsia="Calibri" w:hAnsi="Times New Roman" w:cs="Times New Roman"/>
                <w:position w:val="-10"/>
                <w:sz w:val="20"/>
                <w:szCs w:val="20"/>
              </w:rPr>
              <w:object w:dxaOrig="3060" w:dyaOrig="340" w14:anchorId="24ED4E33">
                <v:shape id="_x0000_i1027" type="#_x0000_t75" style="width:153.6pt;height:17.6pt" o:ole="">
                  <v:imagedata r:id="rId12" o:title=""/>
                </v:shape>
                <o:OLEObject Type="Embed" ProgID="Equation.3" ShapeID="_x0000_i1027" DrawAspect="Content" ObjectID="_1314173228" r:id="rId13"/>
              </w:object>
            </w:r>
          </w:p>
        </w:tc>
        <w:tc>
          <w:tcPr>
            <w:tcW w:w="1000" w:type="pct"/>
            <w:vAlign w:val="center"/>
          </w:tcPr>
          <w:p w14:paraId="5D409785" w14:textId="77777777" w:rsidR="009C15B0" w:rsidRPr="005320EC" w:rsidRDefault="009C15B0" w:rsidP="00DB36D3">
            <w:pPr>
              <w:spacing w:line="480" w:lineRule="auto"/>
              <w:ind w:firstLine="720"/>
            </w:pPr>
            <w:r w:rsidRPr="005320EC">
              <w:t>(S3)</w:t>
            </w:r>
          </w:p>
        </w:tc>
      </w:tr>
    </w:tbl>
    <w:p w14:paraId="6846B460" w14:textId="77777777" w:rsidR="009C15B0" w:rsidRPr="005320EC" w:rsidRDefault="009C15B0" w:rsidP="009C15B0">
      <w:pPr>
        <w:spacing w:line="480" w:lineRule="auto"/>
        <w:rPr>
          <w:position w:val="-8"/>
          <w:sz w:val="24"/>
          <w:szCs w:val="24"/>
        </w:rPr>
      </w:pPr>
      <w:r w:rsidRPr="005320EC">
        <w:rPr>
          <w:position w:val="-8"/>
          <w:sz w:val="24"/>
          <w:szCs w:val="24"/>
        </w:rPr>
        <w:t>Thus, the main effect of ant defence in this model is to lower the rate at which leaves are being removed from the tree continuously throughout the growing season, given by the last term in equation (S1).  Hence, this version of the model represents sustained, chronic herbivory.</w:t>
      </w:r>
    </w:p>
    <w:p w14:paraId="7B82BE4F" w14:textId="77777777" w:rsidR="009C15B0" w:rsidRPr="005320EC" w:rsidRDefault="009C15B0" w:rsidP="009C15B0">
      <w:pPr>
        <w:widowControl w:val="0"/>
        <w:spacing w:line="480" w:lineRule="auto"/>
        <w:rPr>
          <w:sz w:val="24"/>
          <w:szCs w:val="24"/>
        </w:rPr>
      </w:pPr>
      <w:r w:rsidRPr="005320EC">
        <w:rPr>
          <w:position w:val="-8"/>
          <w:sz w:val="24"/>
          <w:szCs w:val="24"/>
        </w:rPr>
        <w:tab/>
      </w:r>
      <w:r w:rsidRPr="005320EC">
        <w:rPr>
          <w:sz w:val="24"/>
          <w:szCs w:val="24"/>
        </w:rPr>
        <w:t>We further assume that ant colony density reduces the realized herbivory according to the function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61"/>
        <w:gridCol w:w="1915"/>
      </w:tblGrid>
      <w:tr w:rsidR="009C15B0" w:rsidRPr="005320EC" w14:paraId="6EE0F723" w14:textId="77777777" w:rsidTr="00DB36D3">
        <w:trPr>
          <w:trHeight w:val="773"/>
          <w:jc w:val="center"/>
        </w:trPr>
        <w:tc>
          <w:tcPr>
            <w:tcW w:w="4000" w:type="pct"/>
            <w:vAlign w:val="center"/>
          </w:tcPr>
          <w:p w14:paraId="61CBCB11" w14:textId="77777777" w:rsidR="009C15B0" w:rsidRPr="005320EC" w:rsidRDefault="009C15B0" w:rsidP="00DB36D3">
            <w:pPr>
              <w:spacing w:line="480" w:lineRule="auto"/>
              <w:ind w:firstLine="720"/>
            </w:pPr>
            <w:r w:rsidRPr="005320EC">
              <w:rPr>
                <w:rFonts w:ascii="Times New Roman" w:eastAsia="Calibri" w:hAnsi="Times New Roman" w:cs="Times New Roman"/>
                <w:position w:val="-50"/>
                <w:sz w:val="20"/>
                <w:szCs w:val="20"/>
              </w:rPr>
              <w:object w:dxaOrig="1720" w:dyaOrig="860" w14:anchorId="3EDDB040">
                <v:shape id="_x0000_i1028" type="#_x0000_t75" style="width:86.4pt;height:43.2pt" o:ole="">
                  <v:imagedata r:id="rId14" o:title=""/>
                </v:shape>
                <o:OLEObject Type="Embed" ProgID="Equation.3" ShapeID="_x0000_i1028" DrawAspect="Content" ObjectID="_1314173229" r:id="rId15"/>
              </w:object>
            </w:r>
          </w:p>
        </w:tc>
        <w:tc>
          <w:tcPr>
            <w:tcW w:w="1000" w:type="pct"/>
            <w:vAlign w:val="center"/>
          </w:tcPr>
          <w:p w14:paraId="623A3A71" w14:textId="77777777" w:rsidR="009C15B0" w:rsidRPr="005320EC" w:rsidRDefault="009C15B0" w:rsidP="00DB36D3">
            <w:pPr>
              <w:spacing w:line="480" w:lineRule="auto"/>
              <w:ind w:firstLine="720"/>
            </w:pPr>
            <w:r w:rsidRPr="005320EC">
              <w:t>(S4)</w:t>
            </w:r>
          </w:p>
        </w:tc>
      </w:tr>
    </w:tbl>
    <w:p w14:paraId="4775DDBE" w14:textId="77777777" w:rsidR="009C15B0" w:rsidRPr="005320EC" w:rsidRDefault="009C15B0" w:rsidP="009C15B0">
      <w:pPr>
        <w:widowControl w:val="0"/>
        <w:spacing w:line="480" w:lineRule="auto"/>
        <w:rPr>
          <w:sz w:val="24"/>
          <w:szCs w:val="24"/>
        </w:rPr>
      </w:pPr>
      <w:r w:rsidRPr="005320EC">
        <w:rPr>
          <w:sz w:val="24"/>
          <w:szCs w:val="24"/>
        </w:rPr>
        <w:t xml:space="preserve">where </w:t>
      </w:r>
      <w:r w:rsidRPr="005320EC">
        <w:rPr>
          <w:i/>
          <w:sz w:val="24"/>
          <w:szCs w:val="24"/>
        </w:rPr>
        <w:t>h</w:t>
      </w:r>
      <w:r w:rsidRPr="005320EC">
        <w:rPr>
          <w:i/>
          <w:sz w:val="24"/>
          <w:szCs w:val="24"/>
          <w:vertAlign w:val="subscript"/>
        </w:rPr>
        <w:t>0</w:t>
      </w:r>
      <w:r w:rsidRPr="005320EC">
        <w:rPr>
          <w:i/>
          <w:sz w:val="24"/>
          <w:szCs w:val="24"/>
        </w:rPr>
        <w:t xml:space="preserve"> </w:t>
      </w:r>
      <w:r w:rsidRPr="005320EC">
        <w:rPr>
          <w:sz w:val="24"/>
          <w:szCs w:val="24"/>
        </w:rPr>
        <w:t xml:space="preserve">is the background herbivory in the absence of ants, and </w:t>
      </w:r>
      <w:r w:rsidRPr="005320EC">
        <w:rPr>
          <w:i/>
          <w:sz w:val="24"/>
          <w:szCs w:val="24"/>
        </w:rPr>
        <w:t>k</w:t>
      </w:r>
      <w:r w:rsidRPr="005320EC">
        <w:rPr>
          <w:i/>
          <w:sz w:val="24"/>
          <w:szCs w:val="24"/>
          <w:vertAlign w:val="subscript"/>
        </w:rPr>
        <w:t>h</w:t>
      </w:r>
      <w:r w:rsidRPr="005320EC">
        <w:rPr>
          <w:sz w:val="24"/>
          <w:szCs w:val="24"/>
        </w:rPr>
        <w:t xml:space="preserve"> is a shape parameter. Substituting equation (S4) into (S1) and solving (S1), (S2), and (S3) simultaneously, we obtain for the equilibrium of the within-season dynamics: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61"/>
        <w:gridCol w:w="1915"/>
      </w:tblGrid>
      <w:tr w:rsidR="009C15B0" w:rsidRPr="005320EC" w14:paraId="7D9C52D6" w14:textId="77777777" w:rsidTr="00DB36D3">
        <w:trPr>
          <w:jc w:val="center"/>
        </w:trPr>
        <w:tc>
          <w:tcPr>
            <w:tcW w:w="4000" w:type="pct"/>
            <w:vAlign w:val="center"/>
          </w:tcPr>
          <w:p w14:paraId="0FC8AEBF" w14:textId="77777777" w:rsidR="009C15B0" w:rsidRPr="005320EC" w:rsidRDefault="009C15B0" w:rsidP="00DB36D3">
            <w:pPr>
              <w:spacing w:line="480" w:lineRule="auto"/>
              <w:ind w:firstLine="720"/>
            </w:pPr>
            <w:r w:rsidRPr="005320EC">
              <w:rPr>
                <w:rFonts w:ascii="Times New Roman" w:eastAsia="Calibri" w:hAnsi="Times New Roman" w:cs="Times New Roman"/>
                <w:position w:val="-26"/>
                <w:sz w:val="20"/>
                <w:szCs w:val="20"/>
              </w:rPr>
              <w:object w:dxaOrig="3820" w:dyaOrig="620" w14:anchorId="59BF6A27">
                <v:shape id="_x0000_i1029" type="#_x0000_t75" style="width:191.2pt;height:31.2pt" o:ole="">
                  <v:imagedata r:id="rId16" o:title=""/>
                </v:shape>
                <o:OLEObject Type="Embed" ProgID="Equation.3" ShapeID="_x0000_i1029" DrawAspect="Content" ObjectID="_1314173230" r:id="rId17"/>
              </w:object>
            </w:r>
          </w:p>
        </w:tc>
        <w:tc>
          <w:tcPr>
            <w:tcW w:w="1000" w:type="pct"/>
            <w:vAlign w:val="center"/>
          </w:tcPr>
          <w:p w14:paraId="20E49E5E" w14:textId="77777777" w:rsidR="009C15B0" w:rsidRPr="005320EC" w:rsidRDefault="009C15B0" w:rsidP="00DB36D3">
            <w:pPr>
              <w:spacing w:line="480" w:lineRule="auto"/>
              <w:ind w:firstLine="720"/>
            </w:pPr>
            <w:r w:rsidRPr="005320EC">
              <w:t>(S5)</w:t>
            </w:r>
          </w:p>
        </w:tc>
      </w:tr>
      <w:tr w:rsidR="009C15B0" w:rsidRPr="005320EC" w14:paraId="1E6A691A" w14:textId="77777777" w:rsidTr="00DB36D3">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73"/>
        </w:trPr>
        <w:tc>
          <w:tcPr>
            <w:tcW w:w="4000" w:type="pct"/>
            <w:tcBorders>
              <w:top w:val="nil"/>
              <w:left w:val="nil"/>
              <w:bottom w:val="nil"/>
              <w:right w:val="nil"/>
            </w:tcBorders>
          </w:tcPr>
          <w:p w14:paraId="7122E203" w14:textId="77777777" w:rsidR="009C15B0" w:rsidRPr="005320EC" w:rsidRDefault="009C15B0" w:rsidP="00DB36D3">
            <w:pPr>
              <w:spacing w:line="480" w:lineRule="auto"/>
              <w:ind w:firstLine="720"/>
            </w:pPr>
            <w:r w:rsidRPr="005320EC">
              <w:rPr>
                <w:rFonts w:ascii="Times New Roman" w:eastAsia="Calibri" w:hAnsi="Times New Roman" w:cs="Times New Roman"/>
                <w:position w:val="-26"/>
                <w:sz w:val="20"/>
                <w:szCs w:val="20"/>
              </w:rPr>
              <w:object w:dxaOrig="1500" w:dyaOrig="620" w14:anchorId="1F585162">
                <v:shape id="_x0000_i1030" type="#_x0000_t75" style="width:75.2pt;height:31.2pt" o:ole="">
                  <v:imagedata r:id="rId18" o:title=""/>
                </v:shape>
                <o:OLEObject Type="Embed" ProgID="Equation.3" ShapeID="_x0000_i1030" DrawAspect="Content" ObjectID="_1314173231" r:id="rId19"/>
              </w:object>
            </w:r>
          </w:p>
        </w:tc>
        <w:tc>
          <w:tcPr>
            <w:tcW w:w="1000" w:type="pct"/>
            <w:tcBorders>
              <w:top w:val="nil"/>
              <w:left w:val="nil"/>
              <w:bottom w:val="nil"/>
              <w:right w:val="nil"/>
            </w:tcBorders>
          </w:tcPr>
          <w:p w14:paraId="62457A1C" w14:textId="77777777" w:rsidR="009C15B0" w:rsidRPr="005320EC" w:rsidRDefault="009C15B0" w:rsidP="00DB36D3">
            <w:pPr>
              <w:spacing w:line="480" w:lineRule="auto"/>
              <w:ind w:firstLine="720"/>
            </w:pPr>
            <w:r w:rsidRPr="005320EC">
              <w:t>(S6)</w:t>
            </w:r>
          </w:p>
        </w:tc>
      </w:tr>
    </w:tbl>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61"/>
        <w:gridCol w:w="1915"/>
      </w:tblGrid>
      <w:tr w:rsidR="009C15B0" w:rsidRPr="005320EC" w14:paraId="104AC7BF" w14:textId="77777777" w:rsidTr="00DB36D3">
        <w:trPr>
          <w:trHeight w:val="773"/>
          <w:jc w:val="center"/>
        </w:trPr>
        <w:tc>
          <w:tcPr>
            <w:tcW w:w="4000" w:type="pct"/>
            <w:vAlign w:val="center"/>
          </w:tcPr>
          <w:p w14:paraId="734ED79E" w14:textId="77777777" w:rsidR="009C15B0" w:rsidRPr="005320EC" w:rsidRDefault="009C15B0" w:rsidP="00DB36D3">
            <w:pPr>
              <w:spacing w:line="480" w:lineRule="auto"/>
              <w:ind w:firstLine="720"/>
            </w:pPr>
            <w:r w:rsidRPr="005320EC">
              <w:rPr>
                <w:rFonts w:ascii="Times New Roman" w:eastAsia="Calibri" w:hAnsi="Times New Roman" w:cs="Times New Roman"/>
                <w:position w:val="-28"/>
                <w:sz w:val="20"/>
                <w:szCs w:val="20"/>
              </w:rPr>
              <w:object w:dxaOrig="3560" w:dyaOrig="700" w14:anchorId="1A36CFB5">
                <v:shape id="_x0000_i1031" type="#_x0000_t75" style="width:178.4pt;height:35.2pt" o:ole="">
                  <v:imagedata r:id="rId20" o:title=""/>
                </v:shape>
                <o:OLEObject Type="Embed" ProgID="Equation.3" ShapeID="_x0000_i1031" DrawAspect="Content" ObjectID="_1314173232" r:id="rId21"/>
              </w:object>
            </w:r>
          </w:p>
        </w:tc>
        <w:tc>
          <w:tcPr>
            <w:tcW w:w="1000" w:type="pct"/>
            <w:vAlign w:val="center"/>
          </w:tcPr>
          <w:p w14:paraId="32B2CC0C" w14:textId="77777777" w:rsidR="009C15B0" w:rsidRPr="005320EC" w:rsidRDefault="009C15B0" w:rsidP="00DB36D3">
            <w:pPr>
              <w:spacing w:line="480" w:lineRule="auto"/>
              <w:ind w:firstLine="720"/>
            </w:pPr>
            <w:r w:rsidRPr="005320EC">
              <w:t>(S7)</w:t>
            </w:r>
          </w:p>
        </w:tc>
      </w:tr>
    </w:tbl>
    <w:p w14:paraId="1FDDA6A2" w14:textId="77777777" w:rsidR="009C15B0" w:rsidRPr="005320EC" w:rsidRDefault="009C15B0" w:rsidP="009C15B0">
      <w:pPr>
        <w:widowControl w:val="0"/>
        <w:spacing w:line="480" w:lineRule="auto"/>
        <w:rPr>
          <w:sz w:val="24"/>
          <w:szCs w:val="24"/>
        </w:rPr>
      </w:pPr>
      <w:r w:rsidRPr="005320EC">
        <w:rPr>
          <w:sz w:val="24"/>
          <w:szCs w:val="24"/>
        </w:rPr>
        <w:t xml:space="preserve">The expected reproduction of the tree and the ant colony is also identical to Model 1, except now the expected length in which the tree and the ant colony can reproduce is a constant, instead of depending on the ant density on the tree.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611"/>
        <w:gridCol w:w="1965"/>
      </w:tblGrid>
      <w:tr w:rsidR="009C15B0" w:rsidRPr="005320EC" w14:paraId="13DDA0A5" w14:textId="77777777" w:rsidTr="00DB36D3">
        <w:trPr>
          <w:trHeight w:val="693"/>
          <w:jc w:val="center"/>
        </w:trPr>
        <w:tc>
          <w:tcPr>
            <w:tcW w:w="3974" w:type="pct"/>
            <w:vAlign w:val="center"/>
          </w:tcPr>
          <w:p w14:paraId="154E49D4" w14:textId="77777777" w:rsidR="009C15B0" w:rsidRPr="005320EC" w:rsidRDefault="009C15B0" w:rsidP="00DB36D3">
            <w:pPr>
              <w:spacing w:line="480" w:lineRule="auto"/>
              <w:ind w:firstLine="720"/>
            </w:pPr>
            <w:r w:rsidRPr="005320EC">
              <w:rPr>
                <w:rFonts w:ascii="Times New Roman" w:eastAsia="Calibri" w:hAnsi="Times New Roman" w:cs="Times New Roman"/>
                <w:position w:val="-8"/>
                <w:sz w:val="20"/>
                <w:szCs w:val="20"/>
              </w:rPr>
              <w:object w:dxaOrig="1500" w:dyaOrig="320" w14:anchorId="43CB0196">
                <v:shape id="_x0000_i1032" type="#_x0000_t75" style="width:75.2pt;height:16pt" o:ole="">
                  <v:imagedata r:id="rId22" o:title=""/>
                </v:shape>
                <o:OLEObject Type="Embed" ProgID="Equation.3" ShapeID="_x0000_i1032" DrawAspect="Content" ObjectID="_1314173233" r:id="rId23"/>
              </w:object>
            </w:r>
          </w:p>
        </w:tc>
        <w:tc>
          <w:tcPr>
            <w:tcW w:w="1026" w:type="pct"/>
            <w:vAlign w:val="center"/>
          </w:tcPr>
          <w:p w14:paraId="77730D99" w14:textId="77777777" w:rsidR="009C15B0" w:rsidRPr="005320EC" w:rsidRDefault="009C15B0" w:rsidP="00DB36D3">
            <w:pPr>
              <w:spacing w:line="480" w:lineRule="auto"/>
              <w:ind w:firstLine="720"/>
            </w:pPr>
            <w:r w:rsidRPr="005320EC">
              <w:t>(S8)</w:t>
            </w:r>
          </w:p>
        </w:tc>
      </w:tr>
      <w:tr w:rsidR="009C15B0" w:rsidRPr="005320EC" w14:paraId="274E3ECB" w14:textId="77777777" w:rsidTr="00DB36D3">
        <w:trPr>
          <w:trHeight w:val="846"/>
          <w:jc w:val="center"/>
        </w:trPr>
        <w:tc>
          <w:tcPr>
            <w:tcW w:w="3974" w:type="pct"/>
            <w:vAlign w:val="center"/>
          </w:tcPr>
          <w:p w14:paraId="3868895F" w14:textId="77777777" w:rsidR="009C15B0" w:rsidRPr="005320EC" w:rsidRDefault="009C15B0" w:rsidP="00DB36D3">
            <w:pPr>
              <w:spacing w:line="480" w:lineRule="auto"/>
              <w:ind w:firstLine="720"/>
            </w:pPr>
            <w:r w:rsidRPr="005320EC">
              <w:rPr>
                <w:rFonts w:ascii="Times New Roman" w:eastAsia="Calibri" w:hAnsi="Times New Roman" w:cs="Times New Roman"/>
                <w:position w:val="-8"/>
                <w:sz w:val="20"/>
                <w:szCs w:val="20"/>
              </w:rPr>
              <w:object w:dxaOrig="2460" w:dyaOrig="320" w14:anchorId="5E089F1F">
                <v:shape id="_x0000_i1033" type="#_x0000_t75" style="width:123.2pt;height:16pt" o:ole="">
                  <v:imagedata r:id="rId24" o:title=""/>
                </v:shape>
                <o:OLEObject Type="Embed" ProgID="Equation.3" ShapeID="_x0000_i1033" DrawAspect="Content" ObjectID="_1314173234" r:id="rId25"/>
              </w:object>
            </w:r>
          </w:p>
        </w:tc>
        <w:tc>
          <w:tcPr>
            <w:tcW w:w="1026" w:type="pct"/>
            <w:vAlign w:val="center"/>
          </w:tcPr>
          <w:p w14:paraId="1D6ADA87" w14:textId="77777777" w:rsidR="009C15B0" w:rsidRPr="005320EC" w:rsidRDefault="009C15B0" w:rsidP="00DB36D3">
            <w:pPr>
              <w:spacing w:line="480" w:lineRule="auto"/>
              <w:ind w:firstLine="720"/>
            </w:pPr>
            <w:r w:rsidRPr="005320EC">
              <w:t>(S9)</w:t>
            </w:r>
          </w:p>
        </w:tc>
      </w:tr>
    </w:tbl>
    <w:p w14:paraId="7FCBABBD" w14:textId="77777777" w:rsidR="009C15B0" w:rsidRPr="005320EC" w:rsidRDefault="009C15B0" w:rsidP="009C15B0">
      <w:pPr>
        <w:widowControl w:val="0"/>
        <w:spacing w:line="480" w:lineRule="auto"/>
        <w:rPr>
          <w:sz w:val="24"/>
          <w:szCs w:val="24"/>
        </w:rPr>
      </w:pPr>
      <w:r w:rsidRPr="005320EC">
        <w:rPr>
          <w:sz w:val="24"/>
          <w:szCs w:val="24"/>
        </w:rPr>
        <w:t>Again, we assume that the tree’s ant allocation (</w:t>
      </w:r>
      <w:r w:rsidRPr="005320EC">
        <w:rPr>
          <w:i/>
          <w:sz w:val="24"/>
          <w:szCs w:val="24"/>
        </w:rPr>
        <w:t>a</w:t>
      </w:r>
      <w:r w:rsidRPr="005320EC">
        <w:rPr>
          <w:sz w:val="24"/>
          <w:szCs w:val="24"/>
        </w:rPr>
        <w:t>) and the ant’s allocation to workers (</w:t>
      </w:r>
      <w:r w:rsidRPr="005320EC">
        <w:rPr>
          <w:i/>
          <w:sz w:val="24"/>
          <w:szCs w:val="24"/>
        </w:rPr>
        <w:t>u</w:t>
      </w:r>
      <w:r w:rsidRPr="005320EC">
        <w:rPr>
          <w:sz w:val="24"/>
          <w:szCs w:val="24"/>
        </w:rPr>
        <w:t xml:space="preserve">) evolve to maximize </w:t>
      </w:r>
      <w:r w:rsidRPr="005320EC">
        <w:rPr>
          <w:i/>
          <w:sz w:val="24"/>
          <w:szCs w:val="24"/>
        </w:rPr>
        <w:t>S</w:t>
      </w:r>
      <w:r w:rsidRPr="005320EC">
        <w:rPr>
          <w:sz w:val="24"/>
          <w:szCs w:val="24"/>
        </w:rPr>
        <w:t xml:space="preserve"> and </w:t>
      </w:r>
      <w:r w:rsidRPr="005320EC">
        <w:rPr>
          <w:i/>
          <w:sz w:val="24"/>
          <w:szCs w:val="24"/>
        </w:rPr>
        <w:t>R</w:t>
      </w:r>
      <w:r w:rsidRPr="005320EC">
        <w:rPr>
          <w:sz w:val="24"/>
          <w:szCs w:val="24"/>
        </w:rPr>
        <w:t xml:space="preserve">, respectively.  We solve numerically for the pair of tree and ant strategies that satisfy the first and second order ESS conditions given in the main text, and ask how this equilibrium changes with changing environmental parameters. </w:t>
      </w:r>
    </w:p>
    <w:p w14:paraId="43886221" w14:textId="14E9090F" w:rsidR="009C15B0" w:rsidRPr="005320EC" w:rsidRDefault="00F03579" w:rsidP="009C15B0">
      <w:pPr>
        <w:widowControl w:val="0"/>
        <w:spacing w:line="480" w:lineRule="auto"/>
        <w:rPr>
          <w:sz w:val="24"/>
          <w:szCs w:val="24"/>
        </w:rPr>
      </w:pPr>
      <w:r>
        <w:rPr>
          <w:sz w:val="24"/>
          <w:szCs w:val="24"/>
        </w:rPr>
        <w:tab/>
      </w:r>
      <w:r w:rsidR="009C15B0" w:rsidRPr="005320EC">
        <w:rPr>
          <w:sz w:val="24"/>
          <w:szCs w:val="24"/>
        </w:rPr>
        <w:t xml:space="preserve">Our first result is that the optimal strategies for both the tree and the ant colony do not change with the length of the growing season if the background herbivory rate </w:t>
      </w:r>
      <w:r w:rsidR="009C15B0" w:rsidRPr="005320EC">
        <w:rPr>
          <w:i/>
          <w:sz w:val="24"/>
          <w:szCs w:val="24"/>
        </w:rPr>
        <w:t>h</w:t>
      </w:r>
      <w:r w:rsidR="009C15B0" w:rsidRPr="005320EC">
        <w:rPr>
          <w:i/>
          <w:sz w:val="24"/>
          <w:szCs w:val="24"/>
          <w:vertAlign w:val="subscript"/>
        </w:rPr>
        <w:t>0</w:t>
      </w:r>
      <w:r w:rsidR="009C15B0" w:rsidRPr="005320EC">
        <w:rPr>
          <w:sz w:val="24"/>
          <w:szCs w:val="24"/>
        </w:rPr>
        <w:t xml:space="preserve"> stays constant. This can be immediately observed in equations (S8) and (S9): since the equilibrium of the growth dynamics (given by (S5-7)) does not depend on </w:t>
      </w:r>
      <w:r w:rsidR="009C15B0" w:rsidRPr="005320EC">
        <w:rPr>
          <w:i/>
          <w:sz w:val="24"/>
          <w:szCs w:val="24"/>
        </w:rPr>
        <w:t>T</w:t>
      </w:r>
      <w:r w:rsidR="009C15B0" w:rsidRPr="005320EC">
        <w:rPr>
          <w:i/>
          <w:sz w:val="24"/>
          <w:szCs w:val="24"/>
          <w:vertAlign w:val="subscript"/>
        </w:rPr>
        <w:t>s</w:t>
      </w:r>
      <w:r w:rsidR="009C15B0" w:rsidRPr="005320EC">
        <w:rPr>
          <w:sz w:val="24"/>
          <w:szCs w:val="24"/>
        </w:rPr>
        <w:t>, changing the season length only scales the reproductive output of the tree and the colony, without changing the location of their maxima. Hence, season length by itself has no direct effect on the mutualism outcome in this version of the model.</w:t>
      </w:r>
    </w:p>
    <w:p w14:paraId="62295830" w14:textId="3C4CDC9E" w:rsidR="009C15B0" w:rsidRPr="005320EC" w:rsidRDefault="009C15B0" w:rsidP="009C15B0">
      <w:pPr>
        <w:widowControl w:val="0"/>
        <w:spacing w:line="480" w:lineRule="auto"/>
        <w:rPr>
          <w:sz w:val="24"/>
          <w:szCs w:val="24"/>
        </w:rPr>
      </w:pPr>
      <w:r w:rsidRPr="005320EC">
        <w:rPr>
          <w:sz w:val="24"/>
          <w:szCs w:val="24"/>
        </w:rPr>
        <w:tab/>
        <w:t xml:space="preserve">However, other environmental variables can covary with the season length. In particular, background herbivory is higher in Santa Rosa, than in Chamela, so we can expect a positive relation between length of the growing season and the background herbivory rate </w:t>
      </w:r>
      <w:r w:rsidRPr="005320EC">
        <w:rPr>
          <w:i/>
          <w:sz w:val="24"/>
          <w:szCs w:val="24"/>
        </w:rPr>
        <w:t>h</w:t>
      </w:r>
      <w:r w:rsidRPr="005320EC">
        <w:rPr>
          <w:i/>
          <w:sz w:val="24"/>
          <w:szCs w:val="24"/>
          <w:vertAlign w:val="subscript"/>
        </w:rPr>
        <w:t>0</w:t>
      </w:r>
      <w:r w:rsidRPr="005320EC">
        <w:rPr>
          <w:sz w:val="24"/>
          <w:szCs w:val="24"/>
        </w:rPr>
        <w:t>. Figure S</w:t>
      </w:r>
      <w:r w:rsidR="00071787">
        <w:rPr>
          <w:sz w:val="24"/>
          <w:szCs w:val="24"/>
        </w:rPr>
        <w:t>1</w:t>
      </w:r>
      <w:bookmarkStart w:id="0" w:name="_GoBack"/>
      <w:bookmarkEnd w:id="0"/>
      <w:r w:rsidRPr="005320EC">
        <w:rPr>
          <w:sz w:val="24"/>
          <w:szCs w:val="24"/>
        </w:rPr>
        <w:t xml:space="preserve">1 </w:t>
      </w:r>
      <w:r w:rsidRPr="005320EC">
        <w:rPr>
          <w:sz w:val="24"/>
          <w:szCs w:val="24"/>
        </w:rPr>
        <w:lastRenderedPageBreak/>
        <w:t xml:space="preserve">depicts the effect of increasing herbivory on the tree and ant strategies, and the equilibrium carbon pool of the tree and the colony size. Panels C and D, show that both the tree’s allocation to ants and the ant colony’s allocation to workers increases with </w:t>
      </w:r>
      <w:r w:rsidRPr="005320EC">
        <w:rPr>
          <w:i/>
          <w:sz w:val="24"/>
          <w:szCs w:val="24"/>
        </w:rPr>
        <w:t>h</w:t>
      </w:r>
      <w:r w:rsidRPr="005320EC">
        <w:rPr>
          <w:i/>
          <w:sz w:val="24"/>
          <w:szCs w:val="24"/>
          <w:vertAlign w:val="subscript"/>
        </w:rPr>
        <w:t>0</w:t>
      </w:r>
      <w:r w:rsidRPr="005320EC">
        <w:rPr>
          <w:sz w:val="24"/>
          <w:szCs w:val="24"/>
        </w:rPr>
        <w:t>. The intuitive explanation for these patterns is that as herbivory increases, the valu</w:t>
      </w:r>
      <w:r w:rsidR="00CF0AB1">
        <w:rPr>
          <w:sz w:val="24"/>
          <w:szCs w:val="24"/>
        </w:rPr>
        <w:t>e for the tree of investing in</w:t>
      </w:r>
      <w:r w:rsidRPr="005320EC">
        <w:rPr>
          <w:sz w:val="24"/>
          <w:szCs w:val="24"/>
        </w:rPr>
        <w:t xml:space="preserve"> defense increases. Similarly, with increased herbivory, the ant colony has more to gain from producing more workers and thereby preventing the photosynthesis rate from being reduced by herbivory. As a result of these two effects, the tree’s equilibrium carbon pool size goes down with increased herbivory, as seen in Panel A, while the ant colony’s size increases, as seen in Panel B. These patterns are opposite of what we observe in our data, which suggests that protection against chronic herbivory throughout the growing season is unlikely to explain the variation in the mutualistic outcome. We confirmed this intuition using more complex models that took into account the within-season dynamics of tree and ant colony growth, as well as the optimal timing of tree reproduction (results not shown).</w:t>
      </w:r>
    </w:p>
    <w:p w14:paraId="2F9FBC3A" w14:textId="77777777" w:rsidR="009C15B0" w:rsidRDefault="009C15B0" w:rsidP="009C15B0">
      <w:pPr>
        <w:widowControl w:val="0"/>
        <w:spacing w:line="480" w:lineRule="auto"/>
      </w:pPr>
    </w:p>
    <w:p w14:paraId="43A4DCF4" w14:textId="77777777" w:rsidR="009C15B0" w:rsidRDefault="009C15B0" w:rsidP="009C15B0">
      <w:pPr>
        <w:pStyle w:val="Paragraph"/>
      </w:pPr>
    </w:p>
    <w:p w14:paraId="0E5FF190" w14:textId="2923DD8F" w:rsidR="009C15B0" w:rsidRPr="008225E1" w:rsidRDefault="009C15B0" w:rsidP="00DB2805">
      <w:pPr>
        <w:rPr>
          <w:sz w:val="24"/>
          <w:szCs w:val="24"/>
        </w:rPr>
      </w:pPr>
    </w:p>
    <w:sectPr w:rsidR="009C15B0" w:rsidRPr="008225E1" w:rsidSect="00020D7F">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E693C" w14:textId="77777777" w:rsidR="00C36C7F" w:rsidRDefault="00C36C7F" w:rsidP="00D73714">
      <w:r>
        <w:separator/>
      </w:r>
    </w:p>
  </w:endnote>
  <w:endnote w:type="continuationSeparator" w:id="0">
    <w:p w14:paraId="61BEB3FB" w14:textId="77777777" w:rsidR="00C36C7F" w:rsidRDefault="00C36C7F"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BlissRegular">
    <w:altName w:val="Times New Roman"/>
    <w:panose1 w:val="00000000000000000000"/>
    <w:charset w:val="00"/>
    <w:family w:val="roman"/>
    <w:notTrueType/>
    <w:pitch w:val="variable"/>
    <w:sig w:usb0="00000003" w:usb1="00000000" w:usb2="00000000" w:usb3="00000000" w:csb0="00000001" w:csb1="00000000"/>
  </w:font>
  <w:font w:name="BlissMedium">
    <w:altName w:val="Times New Roman"/>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6B3E" w14:textId="77777777" w:rsidR="00C36C7F" w:rsidRDefault="00C36C7F" w:rsidP="001B3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24FE3" w14:textId="77777777" w:rsidR="00C36C7F" w:rsidRDefault="00C36C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DB1F" w14:textId="77777777" w:rsidR="00C36C7F" w:rsidRDefault="00C36C7F" w:rsidP="001B3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787">
      <w:rPr>
        <w:rStyle w:val="PageNumber"/>
        <w:noProof/>
      </w:rPr>
      <w:t>3</w:t>
    </w:r>
    <w:r>
      <w:rPr>
        <w:rStyle w:val="PageNumber"/>
      </w:rPr>
      <w:fldChar w:fldCharType="end"/>
    </w:r>
  </w:p>
  <w:p w14:paraId="5DBC18A8" w14:textId="77777777" w:rsidR="00C36C7F" w:rsidRDefault="00C36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D445" w14:textId="77777777" w:rsidR="00C36C7F" w:rsidRDefault="00C36C7F" w:rsidP="00D73714">
      <w:r>
        <w:separator/>
      </w:r>
    </w:p>
  </w:footnote>
  <w:footnote w:type="continuationSeparator" w:id="0">
    <w:p w14:paraId="019AD445" w14:textId="77777777" w:rsidR="00C36C7F" w:rsidRDefault="00C36C7F" w:rsidP="00D737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ACC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2F5E5C"/>
    <w:multiLevelType w:val="multilevel"/>
    <w:tmpl w:val="AB323390"/>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25z9xzir90sqe9v5spp0tdz2saxzp9rtxw&quot;&gt;MutualismAndCommunity&lt;record-ids&gt;&lt;item&gt;29&lt;/item&gt;&lt;/record-ids&gt;&lt;/item&gt;&lt;/Libraries&gt;"/>
  </w:docVars>
  <w:rsids>
    <w:rsidRoot w:val="0064261D"/>
    <w:rsid w:val="00010E6D"/>
    <w:rsid w:val="000164CE"/>
    <w:rsid w:val="00020D7F"/>
    <w:rsid w:val="00030CD6"/>
    <w:rsid w:val="000468E8"/>
    <w:rsid w:val="00062BC5"/>
    <w:rsid w:val="0007032C"/>
    <w:rsid w:val="00071787"/>
    <w:rsid w:val="00091C3D"/>
    <w:rsid w:val="0009448C"/>
    <w:rsid w:val="000D3277"/>
    <w:rsid w:val="000E03EA"/>
    <w:rsid w:val="000F0594"/>
    <w:rsid w:val="00100A5D"/>
    <w:rsid w:val="001213AE"/>
    <w:rsid w:val="00144539"/>
    <w:rsid w:val="00147408"/>
    <w:rsid w:val="00187EEA"/>
    <w:rsid w:val="0019618F"/>
    <w:rsid w:val="0019798F"/>
    <w:rsid w:val="001B3A48"/>
    <w:rsid w:val="001B4316"/>
    <w:rsid w:val="001C381C"/>
    <w:rsid w:val="001D4B5A"/>
    <w:rsid w:val="001D7F07"/>
    <w:rsid w:val="001F38B1"/>
    <w:rsid w:val="001F3EC4"/>
    <w:rsid w:val="00263319"/>
    <w:rsid w:val="00287CAC"/>
    <w:rsid w:val="002921F8"/>
    <w:rsid w:val="002B028A"/>
    <w:rsid w:val="002B1F39"/>
    <w:rsid w:val="002E640D"/>
    <w:rsid w:val="002F1A8D"/>
    <w:rsid w:val="002F39DA"/>
    <w:rsid w:val="00335691"/>
    <w:rsid w:val="00345A21"/>
    <w:rsid w:val="003740F5"/>
    <w:rsid w:val="0039061E"/>
    <w:rsid w:val="003A2990"/>
    <w:rsid w:val="003D6307"/>
    <w:rsid w:val="003D7838"/>
    <w:rsid w:val="003F11D3"/>
    <w:rsid w:val="003F7E05"/>
    <w:rsid w:val="0040422A"/>
    <w:rsid w:val="00417C4E"/>
    <w:rsid w:val="00420DBF"/>
    <w:rsid w:val="00444613"/>
    <w:rsid w:val="00494E4C"/>
    <w:rsid w:val="004B1821"/>
    <w:rsid w:val="004C34C6"/>
    <w:rsid w:val="004F7696"/>
    <w:rsid w:val="00513DAE"/>
    <w:rsid w:val="005320EC"/>
    <w:rsid w:val="005841AF"/>
    <w:rsid w:val="0058706D"/>
    <w:rsid w:val="00593DBB"/>
    <w:rsid w:val="005A2A22"/>
    <w:rsid w:val="005A5835"/>
    <w:rsid w:val="005C169C"/>
    <w:rsid w:val="005E3BCD"/>
    <w:rsid w:val="005E5DCC"/>
    <w:rsid w:val="005F64AD"/>
    <w:rsid w:val="006041B6"/>
    <w:rsid w:val="00610B37"/>
    <w:rsid w:val="006132A2"/>
    <w:rsid w:val="00624DC5"/>
    <w:rsid w:val="00626916"/>
    <w:rsid w:val="00631089"/>
    <w:rsid w:val="0064261D"/>
    <w:rsid w:val="006439B9"/>
    <w:rsid w:val="00655DC8"/>
    <w:rsid w:val="006602C4"/>
    <w:rsid w:val="00660A58"/>
    <w:rsid w:val="0066249C"/>
    <w:rsid w:val="0066566A"/>
    <w:rsid w:val="006839F3"/>
    <w:rsid w:val="00693099"/>
    <w:rsid w:val="00693214"/>
    <w:rsid w:val="006B1C5A"/>
    <w:rsid w:val="006D1023"/>
    <w:rsid w:val="006D271F"/>
    <w:rsid w:val="006F069F"/>
    <w:rsid w:val="006F0888"/>
    <w:rsid w:val="00700C7D"/>
    <w:rsid w:val="00704B47"/>
    <w:rsid w:val="00705B06"/>
    <w:rsid w:val="0071041F"/>
    <w:rsid w:val="00771FC6"/>
    <w:rsid w:val="007737B4"/>
    <w:rsid w:val="00773AC0"/>
    <w:rsid w:val="007A3A90"/>
    <w:rsid w:val="007A7072"/>
    <w:rsid w:val="007C07A5"/>
    <w:rsid w:val="007C27C5"/>
    <w:rsid w:val="007C62D3"/>
    <w:rsid w:val="007E3A93"/>
    <w:rsid w:val="008062C0"/>
    <w:rsid w:val="00807BE0"/>
    <w:rsid w:val="00811470"/>
    <w:rsid w:val="008201CF"/>
    <w:rsid w:val="00820207"/>
    <w:rsid w:val="008225E1"/>
    <w:rsid w:val="0082710E"/>
    <w:rsid w:val="00836D4A"/>
    <w:rsid w:val="008632D1"/>
    <w:rsid w:val="00867F00"/>
    <w:rsid w:val="0087249F"/>
    <w:rsid w:val="0088657B"/>
    <w:rsid w:val="0088747A"/>
    <w:rsid w:val="008A4945"/>
    <w:rsid w:val="008D1A1B"/>
    <w:rsid w:val="008D4772"/>
    <w:rsid w:val="008E2410"/>
    <w:rsid w:val="008F06C4"/>
    <w:rsid w:val="009054BF"/>
    <w:rsid w:val="0091194C"/>
    <w:rsid w:val="00911FE4"/>
    <w:rsid w:val="00972580"/>
    <w:rsid w:val="00977A5B"/>
    <w:rsid w:val="00985C5D"/>
    <w:rsid w:val="009A5916"/>
    <w:rsid w:val="009C15B0"/>
    <w:rsid w:val="009F267C"/>
    <w:rsid w:val="00A15925"/>
    <w:rsid w:val="00A4241D"/>
    <w:rsid w:val="00A80674"/>
    <w:rsid w:val="00A932CB"/>
    <w:rsid w:val="00AC257A"/>
    <w:rsid w:val="00AC637C"/>
    <w:rsid w:val="00AC6B4F"/>
    <w:rsid w:val="00AE2FA3"/>
    <w:rsid w:val="00AF5318"/>
    <w:rsid w:val="00B02C4F"/>
    <w:rsid w:val="00B07E55"/>
    <w:rsid w:val="00B23A09"/>
    <w:rsid w:val="00B840BF"/>
    <w:rsid w:val="00B84997"/>
    <w:rsid w:val="00B86327"/>
    <w:rsid w:val="00B92392"/>
    <w:rsid w:val="00BC650D"/>
    <w:rsid w:val="00BD2717"/>
    <w:rsid w:val="00C203B8"/>
    <w:rsid w:val="00C36C7F"/>
    <w:rsid w:val="00C556DA"/>
    <w:rsid w:val="00C62125"/>
    <w:rsid w:val="00C7021D"/>
    <w:rsid w:val="00C86EA1"/>
    <w:rsid w:val="00CB354B"/>
    <w:rsid w:val="00CB711D"/>
    <w:rsid w:val="00CC426C"/>
    <w:rsid w:val="00CF0AB1"/>
    <w:rsid w:val="00CF0FB6"/>
    <w:rsid w:val="00D15B51"/>
    <w:rsid w:val="00D2207C"/>
    <w:rsid w:val="00D34131"/>
    <w:rsid w:val="00D73714"/>
    <w:rsid w:val="00D76638"/>
    <w:rsid w:val="00D82E6C"/>
    <w:rsid w:val="00D92F97"/>
    <w:rsid w:val="00DB16F7"/>
    <w:rsid w:val="00DB2805"/>
    <w:rsid w:val="00DB36D3"/>
    <w:rsid w:val="00DC6A82"/>
    <w:rsid w:val="00DC761B"/>
    <w:rsid w:val="00DD3E9B"/>
    <w:rsid w:val="00DF5038"/>
    <w:rsid w:val="00E12D09"/>
    <w:rsid w:val="00E23E0B"/>
    <w:rsid w:val="00E72365"/>
    <w:rsid w:val="00E75302"/>
    <w:rsid w:val="00E7594C"/>
    <w:rsid w:val="00E841F5"/>
    <w:rsid w:val="00E85F41"/>
    <w:rsid w:val="00EB61AF"/>
    <w:rsid w:val="00EB737D"/>
    <w:rsid w:val="00EB7855"/>
    <w:rsid w:val="00EC17B2"/>
    <w:rsid w:val="00ED5AA7"/>
    <w:rsid w:val="00EE56AF"/>
    <w:rsid w:val="00EE6E5C"/>
    <w:rsid w:val="00EF0991"/>
    <w:rsid w:val="00F03579"/>
    <w:rsid w:val="00F061B7"/>
    <w:rsid w:val="00F14B06"/>
    <w:rsid w:val="00F20E36"/>
    <w:rsid w:val="00F24EEE"/>
    <w:rsid w:val="00F40480"/>
    <w:rsid w:val="00F56418"/>
    <w:rsid w:val="00F608B1"/>
    <w:rsid w:val="00F65AD6"/>
    <w:rsid w:val="00F74B97"/>
    <w:rsid w:val="00F80C1D"/>
    <w:rsid w:val="00F8573B"/>
    <w:rsid w:val="00F85DD0"/>
    <w:rsid w:val="00F9359B"/>
    <w:rsid w:val="00FA214E"/>
    <w:rsid w:val="00FA58B8"/>
    <w:rsid w:val="00FE2E65"/>
    <w:rsid w:val="00FE3C02"/>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F5D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styleId="Caption">
    <w:name w:val="caption"/>
    <w:basedOn w:val="Normal"/>
    <w:next w:val="Normal"/>
    <w:rsid w:val="00091C3D"/>
    <w:pPr>
      <w:spacing w:after="200"/>
    </w:pPr>
    <w:rPr>
      <w:rFonts w:eastAsiaTheme="minorHAnsi" w:cstheme="minorBidi"/>
      <w:bCs/>
      <w:sz w:val="24"/>
      <w:szCs w:val="18"/>
    </w:rPr>
  </w:style>
  <w:style w:type="table" w:styleId="TableGrid">
    <w:name w:val="Table Grid"/>
    <w:basedOn w:val="TableNormal"/>
    <w:uiPriority w:val="59"/>
    <w:rsid w:val="00DB2805"/>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4316"/>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2">
    <w:name w:val="Style2"/>
    <w:uiPriority w:val="99"/>
    <w:rsid w:val="009C15B0"/>
    <w:pPr>
      <w:numPr>
        <w:numId w:val="1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link w:val="Footer"/>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styleId="Caption">
    <w:name w:val="caption"/>
    <w:basedOn w:val="Normal"/>
    <w:next w:val="Normal"/>
    <w:rsid w:val="00091C3D"/>
    <w:pPr>
      <w:spacing w:after="200"/>
    </w:pPr>
    <w:rPr>
      <w:rFonts w:eastAsiaTheme="minorHAnsi" w:cstheme="minorBidi"/>
      <w:bCs/>
      <w:sz w:val="24"/>
      <w:szCs w:val="18"/>
    </w:rPr>
  </w:style>
  <w:style w:type="table" w:styleId="TableGrid">
    <w:name w:val="Table Grid"/>
    <w:basedOn w:val="TableNormal"/>
    <w:uiPriority w:val="59"/>
    <w:rsid w:val="00DB2805"/>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B4316"/>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2">
    <w:name w:val="Style2"/>
    <w:uiPriority w:val="99"/>
    <w:rsid w:val="009C15B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5395">
      <w:bodyDiv w:val="1"/>
      <w:marLeft w:val="0"/>
      <w:marRight w:val="0"/>
      <w:marTop w:val="0"/>
      <w:marBottom w:val="0"/>
      <w:divBdr>
        <w:top w:val="none" w:sz="0" w:space="0" w:color="auto"/>
        <w:left w:val="none" w:sz="0" w:space="0" w:color="auto"/>
        <w:bottom w:val="none" w:sz="0" w:space="0" w:color="auto"/>
        <w:right w:val="none" w:sz="0" w:space="0" w:color="auto"/>
      </w:divBdr>
    </w:div>
    <w:div w:id="238372193">
      <w:bodyDiv w:val="1"/>
      <w:marLeft w:val="0"/>
      <w:marRight w:val="0"/>
      <w:marTop w:val="0"/>
      <w:marBottom w:val="0"/>
      <w:divBdr>
        <w:top w:val="none" w:sz="0" w:space="0" w:color="auto"/>
        <w:left w:val="none" w:sz="0" w:space="0" w:color="auto"/>
        <w:bottom w:val="none" w:sz="0" w:space="0" w:color="auto"/>
        <w:right w:val="none" w:sz="0" w:space="0" w:color="auto"/>
      </w:divBdr>
    </w:div>
    <w:div w:id="949509132">
      <w:bodyDiv w:val="1"/>
      <w:marLeft w:val="0"/>
      <w:marRight w:val="0"/>
      <w:marTop w:val="0"/>
      <w:marBottom w:val="0"/>
      <w:divBdr>
        <w:top w:val="none" w:sz="0" w:space="0" w:color="auto"/>
        <w:left w:val="none" w:sz="0" w:space="0" w:color="auto"/>
        <w:bottom w:val="none" w:sz="0" w:space="0" w:color="auto"/>
        <w:right w:val="none" w:sz="0" w:space="0" w:color="auto"/>
      </w:divBdr>
    </w:div>
    <w:div w:id="10035057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Links>
    <vt:vector size="24" baseType="variant">
      <vt:variant>
        <vt:i4>7077954</vt:i4>
      </vt:variant>
      <vt:variant>
        <vt:i4>9</vt:i4>
      </vt:variant>
      <vt:variant>
        <vt:i4>0</vt:i4>
      </vt:variant>
      <vt:variant>
        <vt:i4>5</vt:i4>
      </vt:variant>
      <vt:variant>
        <vt:lpwstr>http://www.sciencemag.org/about/authors/prep/res/refs.xhtml</vt:lpwstr>
      </vt:variant>
      <vt:variant>
        <vt:lpwstr/>
      </vt:variant>
      <vt:variant>
        <vt:i4>5177440</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5767205</vt:i4>
      </vt:variant>
      <vt:variant>
        <vt:i4>0</vt:i4>
      </vt:variant>
      <vt:variant>
        <vt:i4>0</vt:i4>
      </vt:variant>
      <vt:variant>
        <vt:i4>5</vt:i4>
      </vt:variant>
      <vt:variant>
        <vt:lpwstr>http://www.submit2science.org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cp:lastModifiedBy>Elizabeth Pringle User</cp:lastModifiedBy>
  <cp:revision>3</cp:revision>
  <cp:lastPrinted>2013-04-29T15:40:00Z</cp:lastPrinted>
  <dcterms:created xsi:type="dcterms:W3CDTF">2013-09-10T15:08:00Z</dcterms:created>
  <dcterms:modified xsi:type="dcterms:W3CDTF">2013-09-10T15:19:00Z</dcterms:modified>
</cp:coreProperties>
</file>