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C" w:rsidRDefault="000E17AC" w:rsidP="000E17AC">
      <w:pPr>
        <w:jc w:val="both"/>
      </w:pPr>
      <w:r>
        <w:rPr>
          <w:b/>
        </w:rPr>
        <w:t xml:space="preserve">S1 Table. Comparison of eight alternative </w:t>
      </w:r>
      <w:proofErr w:type="spellStart"/>
      <w:r>
        <w:rPr>
          <w:b/>
        </w:rPr>
        <w:t>allometric</w:t>
      </w:r>
      <w:proofErr w:type="spellEnd"/>
      <w:r>
        <w:rPr>
          <w:b/>
        </w:rPr>
        <w:t xml:space="preserve"> locomotion models that predict the realised travel speeds of animals as a function of their body mass and locomotion mode. </w:t>
      </w:r>
      <w:r>
        <w:t xml:space="preserve">The more complex versions of each of the </w:t>
      </w:r>
      <w:proofErr w:type="spellStart"/>
      <w:r>
        <w:t>allometric</w:t>
      </w:r>
      <w:proofErr w:type="spellEnd"/>
      <w:r>
        <w:t xml:space="preserve"> locomotion models featured in Table 1 also allow for variation in the </w:t>
      </w:r>
      <w:proofErr w:type="spellStart"/>
      <w:r>
        <w:t>allometric</w:t>
      </w:r>
      <w:proofErr w:type="spellEnd"/>
      <w:r>
        <w:t xml:space="preserve"> scaling exponent </w:t>
      </w:r>
      <m:oMath>
        <m:r>
          <w:rPr>
            <w:rFonts w:ascii="Cambria Math" w:eastAsia="Cambria Math" w:hAnsi="Cambria Math" w:cs="Cambria Math"/>
          </w:rPr>
          <m:t>c</m:t>
        </m:r>
      </m:oMath>
      <w:r>
        <w:t xml:space="preserve"> among flying, running and swimming animals or for variation in the heat-dissipation time constants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</w:rPr>
              <m:t>0</m:t>
            </m:r>
          </m:sub>
        </m:sSub>
      </m:oMath>
      <w:r>
        <w:t xml:space="preserve"> or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</w:rPr>
              <m:t>λ</m:t>
            </m:r>
          </m:sub>
        </m:sSub>
      </m:oMath>
      <w:r>
        <w:t xml:space="preserve"> among the aquatic and terrestrial realms. LOOIC values are presented together with the difference in LOOIC value relative to the most parsimonious model (ΔLOOIC = 0.0) and the estimated standard error of the difference (SE ΔLOOIC). LOOIC represents the expected log pointwise-predictive densities (ELPD) converted to the deviance scale. The asterisks highlight the joint best-fitting models whose difference in LOOIC (ΔLOOIC) is within two standard errors of the difference (SE ΔELPD) and therefore comparable in terms of predictive performance.</w:t>
      </w:r>
      <w:r w:rsidR="00320B97">
        <w:t xml:space="preserve"> </w:t>
      </w:r>
      <w:r w:rsidR="00320B97" w:rsidRPr="00800BA9">
        <w:t xml:space="preserve">The data underlying this </w:t>
      </w:r>
      <w:r w:rsidR="00320B97">
        <w:t>Table</w:t>
      </w:r>
      <w:r w:rsidR="00320B97" w:rsidRPr="00800BA9">
        <w:t xml:space="preserve"> </w:t>
      </w:r>
      <w:proofErr w:type="gramStart"/>
      <w:r w:rsidR="00320B97" w:rsidRPr="00800BA9">
        <w:t>can be found</w:t>
      </w:r>
      <w:proofErr w:type="gramEnd"/>
      <w:r w:rsidR="00320B97" w:rsidRPr="00800BA9">
        <w:t xml:space="preserve"> </w:t>
      </w:r>
      <w:r w:rsidR="00320B97">
        <w:t>in</w:t>
      </w:r>
      <w:r w:rsidR="00320B97" w:rsidRPr="00800BA9">
        <w:t xml:space="preserve"> </w:t>
      </w:r>
      <w:hyperlink r:id="rId4" w:history="1">
        <w:r w:rsidR="00320B97" w:rsidRPr="00066360">
          <w:rPr>
            <w:rStyle w:val="Hyperlink"/>
          </w:rPr>
          <w:t>https://zenodo.org/record/7554842</w:t>
        </w:r>
      </w:hyperlink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085"/>
        <w:gridCol w:w="1455"/>
        <w:gridCol w:w="1350"/>
        <w:gridCol w:w="1440"/>
      </w:tblGrid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Pr>
              <w:rPr>
                <w:b/>
              </w:rPr>
            </w:pPr>
            <w:r>
              <w:rPr>
                <w:b/>
              </w:rPr>
              <w:t>LOOIC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Pr>
              <w:rPr>
                <w:b/>
              </w:rPr>
            </w:pPr>
            <w:r>
              <w:rPr>
                <w:b/>
              </w:rPr>
              <w:t>ΔLOOIC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Pr>
              <w:rPr>
                <w:b/>
              </w:rPr>
            </w:pPr>
            <w:r>
              <w:rPr>
                <w:b/>
              </w:rPr>
              <w:t>SE ΔLOOIC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Metabolic</w:t>
            </w:r>
          </w:p>
          <w:p w:rsidR="000E17AC" w:rsidRDefault="000E17AC" w:rsidP="00887DB6">
            <w:r>
              <w:t>(shared slope)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 xml:space="preserve">Power law: </w:t>
            </w:r>
          </w:p>
          <w:p w:rsidR="000E17AC" w:rsidRDefault="000E17AC" w:rsidP="00887DB6">
            <w:r>
              <w:t xml:space="preserve">only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>
              <w:t xml:space="preserve"> varies with locomotion mode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465.4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65.0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14.5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Metabolic</w:t>
            </w:r>
          </w:p>
          <w:p w:rsidR="000E17AC" w:rsidRDefault="000E17AC" w:rsidP="00887DB6">
            <w:r>
              <w:t>(variable slope)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 xml:space="preserve">Power law: </w:t>
            </w:r>
          </w:p>
          <w:p w:rsidR="000E17AC" w:rsidRDefault="00184B46" w:rsidP="00887DB6"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 w:rsidR="000E17AC">
              <w:t xml:space="preserve"> and </w:t>
            </w:r>
            <m:oMath>
              <m:r>
                <w:rPr>
                  <w:rFonts w:ascii="Cambria Math" w:eastAsia="Cambria Math" w:hAnsi="Cambria Math" w:cs="Cambria Math"/>
                </w:rPr>
                <m:t>c</m:t>
              </m:r>
            </m:oMath>
            <w:r w:rsidR="000E17AC">
              <w:t xml:space="preserve"> vary with locomotion mode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452.9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52.4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11.2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Constant heat-dissipation</w:t>
            </w:r>
          </w:p>
          <w:p w:rsidR="000E17AC" w:rsidRDefault="000E17AC" w:rsidP="00887DB6">
            <w:r>
              <w:t>(shared slope)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 xml:space="preserve">Saturating: </w:t>
            </w:r>
          </w:p>
          <w:p w:rsidR="000E17AC" w:rsidRDefault="000E17AC" w:rsidP="00887DB6">
            <w:r>
              <w:t xml:space="preserve">only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>
              <w:t xml:space="preserve"> varies with locomotion mode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428.4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28.0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8.4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Constant heat-dissipation</w:t>
            </w:r>
          </w:p>
          <w:p w:rsidR="000E17AC" w:rsidRDefault="000E17AC" w:rsidP="00887DB6">
            <w:r>
              <w:t>(variable slope)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 xml:space="preserve">Saturating: </w:t>
            </w:r>
          </w:p>
          <w:p w:rsidR="000E17AC" w:rsidRDefault="00184B46" w:rsidP="00887DB6"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 w:rsidR="000E17AC">
              <w:t xml:space="preserve"> and </w:t>
            </w:r>
            <m:oMath>
              <m:r>
                <w:rPr>
                  <w:rFonts w:ascii="Cambria Math" w:eastAsia="Cambria Math" w:hAnsi="Cambria Math" w:cs="Cambria Math"/>
                </w:rPr>
                <m:t>c</m:t>
              </m:r>
            </m:oMath>
            <w:r w:rsidR="000E17AC">
              <w:t xml:space="preserve"> vary with locomotion mode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415.5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15.0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5.8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Constant heat-dissipation</w:t>
            </w:r>
          </w:p>
          <w:p w:rsidR="000E17AC" w:rsidRDefault="000E17AC" w:rsidP="00887DB6">
            <w:r>
              <w:t>(shared slope and variable maxima) *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 xml:space="preserve">Saturating: </w:t>
            </w:r>
          </w:p>
          <w:p w:rsidR="000E17AC" w:rsidRDefault="00184B46" w:rsidP="00887DB6"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 w:rsidR="000E17AC">
              <w:t xml:space="preserve"> varies with locomotion mode and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w:bookmarkStart w:id="0" w:name="_GoBack"/>
                  <w:bookmarkEnd w:id="0"/>
                </m:sub>
              </m:sSub>
            </m:oMath>
            <w:r w:rsidR="000E17AC">
              <w:t xml:space="preserve"> varies with ambient realm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412.8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12.3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10.8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roofErr w:type="spellStart"/>
            <w:r>
              <w:t>Allometric</w:t>
            </w:r>
            <w:proofErr w:type="spellEnd"/>
            <w:r>
              <w:t xml:space="preserve"> heat-dissipation</w:t>
            </w:r>
          </w:p>
          <w:p w:rsidR="000E17AC" w:rsidRDefault="000E17AC" w:rsidP="00887DB6">
            <w:r>
              <w:t>(shared slope and variable maxima) *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Hump-shaped:</w:t>
            </w:r>
          </w:p>
          <w:p w:rsidR="000E17AC" w:rsidRDefault="00184B46" w:rsidP="00887DB6"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 w:rsidR="000E17AC">
              <w:t xml:space="preserve"> varies with locomotion mode and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λ</m:t>
                  </m:r>
                </m:sub>
              </m:sSub>
            </m:oMath>
            <w:r w:rsidR="000E17AC">
              <w:t xml:space="preserve"> varies with ambient realm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404.1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3.6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8.7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roofErr w:type="spellStart"/>
            <w:r>
              <w:lastRenderedPageBreak/>
              <w:t>Allometric</w:t>
            </w:r>
            <w:proofErr w:type="spellEnd"/>
            <w:r>
              <w:t xml:space="preserve"> heat-dissipation</w:t>
            </w:r>
          </w:p>
          <w:p w:rsidR="000E17AC" w:rsidRDefault="000E17AC" w:rsidP="00887DB6">
            <w:r>
              <w:t>(shared slope) *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Hump-shaped:</w:t>
            </w:r>
          </w:p>
          <w:p w:rsidR="000E17AC" w:rsidRDefault="000E17AC" w:rsidP="00887DB6">
            <w:r>
              <w:t xml:space="preserve">only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>
              <w:t xml:space="preserve"> varies with locomotion mode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401.3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0.9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5.6</w:t>
            </w:r>
          </w:p>
        </w:tc>
      </w:tr>
      <w:tr w:rsidR="000E17AC" w:rsidTr="00887DB6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proofErr w:type="spellStart"/>
            <w:r>
              <w:t>Allometric</w:t>
            </w:r>
            <w:proofErr w:type="spellEnd"/>
            <w:r>
              <w:t xml:space="preserve"> heat-dissipation</w:t>
            </w:r>
          </w:p>
          <w:p w:rsidR="000E17AC" w:rsidRDefault="000E17AC" w:rsidP="00887DB6">
            <w:r>
              <w:t>(variable slope) *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Hump-shaped:</w:t>
            </w:r>
          </w:p>
          <w:p w:rsidR="000E17AC" w:rsidRDefault="00184B46" w:rsidP="00887DB6"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sub>
              </m:sSub>
            </m:oMath>
            <w:r w:rsidR="000E17AC">
              <w:t xml:space="preserve"> and </w:t>
            </w:r>
            <m:oMath>
              <m:r>
                <w:rPr>
                  <w:rFonts w:ascii="Cambria Math" w:eastAsia="Cambria Math" w:hAnsi="Cambria Math" w:cs="Cambria Math"/>
                </w:rPr>
                <m:t>c</m:t>
              </m:r>
            </m:oMath>
            <w:r w:rsidR="000E17AC">
              <w:t xml:space="preserve"> vary with locomotion mode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400.5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0.0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7AC" w:rsidRDefault="000E17AC" w:rsidP="00887DB6">
            <w:r>
              <w:t>0.0</w:t>
            </w:r>
          </w:p>
        </w:tc>
      </w:tr>
    </w:tbl>
    <w:p w:rsidR="005B53AE" w:rsidRDefault="00184B46"/>
    <w:sectPr w:rsidR="005B5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C"/>
    <w:rsid w:val="00026A4B"/>
    <w:rsid w:val="000E124B"/>
    <w:rsid w:val="000E17AC"/>
    <w:rsid w:val="00184B46"/>
    <w:rsid w:val="00320B97"/>
    <w:rsid w:val="005A2032"/>
    <w:rsid w:val="00BF67A7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5B9A"/>
  <w15:chartTrackingRefBased/>
  <w15:docId w15:val="{F5080E90-5705-482F-A2C8-4418241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odo.org/record/755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Alexander</dc:creator>
  <cp:keywords/>
  <dc:description/>
  <cp:lastModifiedBy>Dyer, Alexander</cp:lastModifiedBy>
  <cp:revision>5</cp:revision>
  <dcterms:created xsi:type="dcterms:W3CDTF">2023-01-26T16:27:00Z</dcterms:created>
  <dcterms:modified xsi:type="dcterms:W3CDTF">2023-03-10T09:58:00Z</dcterms:modified>
</cp:coreProperties>
</file>