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B4" w:rsidRPr="00EF2245" w:rsidRDefault="008A7CB4" w:rsidP="008A7CB4">
      <w:pPr>
        <w:pStyle w:val="SMText"/>
        <w:spacing w:line="360" w:lineRule="auto"/>
        <w:jc w:val="both"/>
        <w:rPr>
          <w:szCs w:val="24"/>
        </w:rPr>
      </w:pPr>
      <w:r w:rsidRPr="00EF2245">
        <w:rPr>
          <w:noProof/>
          <w:szCs w:val="24"/>
          <w:bdr w:val="none" w:sz="0" w:space="0" w:color="auto" w:frame="1"/>
          <w:lang w:val="en-AU" w:eastAsia="en-AU"/>
        </w:rPr>
        <w:drawing>
          <wp:inline distT="0" distB="0" distL="0" distR="0" wp14:anchorId="295B7EC8" wp14:editId="361B975F">
            <wp:extent cx="5410947" cy="5901690"/>
            <wp:effectExtent l="0" t="0" r="0" b="0"/>
            <wp:docPr id="2788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61" cy="5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CB4" w:rsidRPr="00EF2245" w:rsidRDefault="008A7CB4" w:rsidP="008A7CB4">
      <w:pPr>
        <w:pStyle w:val="SMHeading"/>
        <w:spacing w:line="360" w:lineRule="auto"/>
      </w:pPr>
      <w:r w:rsidRPr="00EF2245">
        <w:t>S1</w:t>
      </w:r>
      <w:r w:rsidRPr="00F2771F">
        <w:t xml:space="preserve"> </w:t>
      </w:r>
      <w:r>
        <w:t>Fig</w:t>
      </w:r>
      <w:r w:rsidRPr="00EF2245">
        <w:t xml:space="preserve">. </w:t>
      </w:r>
      <w:r w:rsidRPr="00EF2245">
        <w:rPr>
          <w:bdr w:val="none" w:sz="0" w:space="0" w:color="auto" w:frame="1"/>
        </w:rPr>
        <w:t xml:space="preserve">Decision framework in the return on investment analysis (ROI). </w:t>
      </w:r>
      <w:r w:rsidRPr="00EF2245">
        <w:rPr>
          <w:b w:val="0"/>
          <w:bdr w:val="none" w:sz="0" w:space="0" w:color="auto" w:frame="1"/>
        </w:rPr>
        <w:t>Categorical scores attributed to each factor are provided.</w:t>
      </w:r>
    </w:p>
    <w:p w:rsidR="00DE736A" w:rsidRDefault="00DE736A">
      <w:bookmarkStart w:id="0" w:name="_GoBack"/>
      <w:bookmarkEnd w:id="0"/>
    </w:p>
    <w:sectPr w:rsidR="00DE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4"/>
    <w:rsid w:val="008A7CB4"/>
    <w:rsid w:val="00D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A94ED-159C-40E8-A5B1-3148FD4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8A7CB4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customStyle="1" w:styleId="SMText">
    <w:name w:val="SM Text"/>
    <w:basedOn w:val="Normal"/>
    <w:qFormat/>
    <w:rsid w:val="008A7CB4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7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Melville, Jane</dc:creator>
  <cp:keywords/>
  <dc:description/>
  <cp:lastModifiedBy>Melville, Jane</cp:lastModifiedBy>
  <cp:revision>1</cp:revision>
  <dcterms:created xsi:type="dcterms:W3CDTF">2020-12-15T03:46:00Z</dcterms:created>
  <dcterms:modified xsi:type="dcterms:W3CDTF">2020-12-15T03:46:00Z</dcterms:modified>
</cp:coreProperties>
</file>