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D3535" w14:textId="77777777" w:rsidR="0018088C" w:rsidRDefault="0018088C" w:rsidP="0018088C">
      <w:r>
        <w:rPr>
          <w:b/>
        </w:rPr>
        <w:t xml:space="preserve">S1 </w:t>
      </w:r>
      <w:r w:rsidRPr="00D40204">
        <w:rPr>
          <w:b/>
        </w:rPr>
        <w:t>Text</w:t>
      </w:r>
      <w:r>
        <w:t xml:space="preserve">. </w:t>
      </w:r>
      <w:r>
        <w:rPr>
          <w:b/>
        </w:rPr>
        <w:t>Supporting</w:t>
      </w:r>
      <w:r w:rsidRPr="007C23E2">
        <w:rPr>
          <w:b/>
        </w:rPr>
        <w:t xml:space="preserve"> </w:t>
      </w:r>
      <w:r>
        <w:rPr>
          <w:b/>
        </w:rPr>
        <w:t>Information concerning additional likelihood analyses and results</w:t>
      </w:r>
    </w:p>
    <w:p w14:paraId="575F3766" w14:textId="77777777" w:rsidR="0018088C" w:rsidRPr="00632734" w:rsidRDefault="0018088C" w:rsidP="0018088C">
      <w:pPr>
        <w:rPr>
          <w:rFonts w:cs="Times New Roman"/>
          <w:b/>
        </w:rPr>
      </w:pPr>
      <w:r w:rsidRPr="00632734">
        <w:rPr>
          <w:rFonts w:cs="Times New Roman"/>
          <w:b/>
        </w:rPr>
        <w:t>1.1 Accounting for excess variance above binomial sampling</w:t>
      </w:r>
    </w:p>
    <w:p w14:paraId="7ADD3BB6" w14:textId="77777777" w:rsidR="0018088C" w:rsidRPr="00446276" w:rsidRDefault="0018088C" w:rsidP="0018088C">
      <w:pPr>
        <w:rPr>
          <w:rFonts w:cs="Times New Roman"/>
          <w:i/>
        </w:rPr>
      </w:pPr>
      <w:r w:rsidRPr="00446276">
        <w:rPr>
          <w:rFonts w:cs="Times New Roman"/>
          <w:i/>
        </w:rPr>
        <w:t>1.1.1. Methods</w:t>
      </w:r>
      <w:r>
        <w:rPr>
          <w:rFonts w:cs="Times New Roman"/>
          <w:i/>
        </w:rPr>
        <w:t>: A simple model accounting for additional variance</w:t>
      </w:r>
    </w:p>
    <w:p w14:paraId="1448B865" w14:textId="77777777" w:rsidR="0018088C" w:rsidRDefault="0018088C" w:rsidP="0018088C">
      <w:pPr>
        <w:pStyle w:val="Standard"/>
        <w:tabs>
          <w:tab w:val="left" w:pos="450"/>
        </w:tabs>
        <w:spacing w:before="30" w:line="440" w:lineRule="exact"/>
        <w:rPr>
          <w:rFonts w:asciiTheme="minorHAnsi" w:hAnsiTheme="minorHAnsi" w:cs="Times New Roman"/>
          <w:sz w:val="22"/>
          <w:szCs w:val="22"/>
          <w:lang w:val="en-AU"/>
        </w:rPr>
      </w:pPr>
      <w:r>
        <w:rPr>
          <w:rFonts w:asciiTheme="minorHAnsi" w:hAnsiTheme="minorHAnsi" w:cs="Times New Roman"/>
          <w:sz w:val="22"/>
          <w:szCs w:val="22"/>
          <w:lang w:val="en-AU"/>
        </w:rPr>
        <w:t>The estimated infection frequencies at a given distance from the release areas vary more than can be explained by binomial sampling alone. F</w:t>
      </w:r>
      <w:r w:rsidRPr="00DF0A2D">
        <w:rPr>
          <w:rFonts w:asciiTheme="minorHAnsi" w:hAnsiTheme="minorHAnsi" w:cs="Times New Roman"/>
          <w:sz w:val="22"/>
          <w:szCs w:val="22"/>
          <w:lang w:val="en-AU"/>
        </w:rPr>
        <w:t>inite population size inevitably generates excess variance, and additional sources of variance</w:t>
      </w:r>
      <w:r w:rsidRPr="0068297D">
        <w:rPr>
          <w:rFonts w:asciiTheme="minorHAnsi" w:hAnsiTheme="minorHAnsi" w:cs="Times New Roman"/>
          <w:sz w:val="22"/>
          <w:szCs w:val="22"/>
          <w:lang w:val="en-AU"/>
        </w:rPr>
        <w:t xml:space="preserve"> </w:t>
      </w:r>
      <w:r>
        <w:rPr>
          <w:rFonts w:asciiTheme="minorHAnsi" w:hAnsiTheme="minorHAnsi" w:cs="Times New Roman"/>
          <w:sz w:val="22"/>
          <w:szCs w:val="22"/>
          <w:lang w:val="en-AU"/>
        </w:rPr>
        <w:t xml:space="preserve">associated with habitat heterogeneity also influence local infection frequencies (e.g., we expect areas of higher population density to be invaded more slowly). Our one-dimensional approximation (7) pools data over such heterogeneities. To account for additional sources of variation, we assume that the underlying infection frequency at each distance follows a beta distribution with mean </w:t>
      </w:r>
      <w:r w:rsidRPr="00302B19">
        <w:rPr>
          <w:rFonts w:asciiTheme="minorHAnsi" w:hAnsiTheme="minorHAnsi" w:cs="Times New Roman"/>
          <w:i/>
          <w:sz w:val="22"/>
          <w:szCs w:val="22"/>
          <w:lang w:val="en-AU"/>
        </w:rPr>
        <w:t>p</w:t>
      </w:r>
      <w:r>
        <w:rPr>
          <w:rFonts w:asciiTheme="minorHAnsi" w:hAnsiTheme="minorHAnsi" w:cs="Times New Roman"/>
          <w:sz w:val="22"/>
          <w:szCs w:val="22"/>
          <w:lang w:val="en-AU"/>
        </w:rPr>
        <w:t xml:space="preserve"> and variance </w:t>
      </w:r>
      <w:r w:rsidRPr="00302B19">
        <w:rPr>
          <w:rFonts w:asciiTheme="minorHAnsi" w:hAnsiTheme="minorHAnsi" w:cs="Times New Roman"/>
          <w:i/>
          <w:sz w:val="22"/>
          <w:szCs w:val="22"/>
          <w:lang w:val="en-AU"/>
        </w:rPr>
        <w:t>Fp</w:t>
      </w:r>
      <w:r>
        <w:rPr>
          <w:rFonts w:asciiTheme="minorHAnsi" w:hAnsiTheme="minorHAnsi" w:cs="Times New Roman"/>
          <w:sz w:val="22"/>
          <w:szCs w:val="22"/>
          <w:lang w:val="en-AU"/>
        </w:rPr>
        <w:t xml:space="preserve">(1 – </w:t>
      </w:r>
      <w:r w:rsidRPr="00ED11F2">
        <w:rPr>
          <w:rFonts w:asciiTheme="minorHAnsi" w:hAnsiTheme="minorHAnsi" w:cs="Times New Roman"/>
          <w:i/>
          <w:sz w:val="22"/>
          <w:szCs w:val="22"/>
          <w:lang w:val="en-AU"/>
        </w:rPr>
        <w:t>p</w:t>
      </w:r>
      <w:r>
        <w:rPr>
          <w:rFonts w:asciiTheme="minorHAnsi" w:hAnsiTheme="minorHAnsi" w:cs="Times New Roman"/>
          <w:sz w:val="22"/>
          <w:szCs w:val="22"/>
          <w:lang w:val="en-AU"/>
        </w:rPr>
        <w:t>). Under this model, the probability of finding</w:t>
      </w:r>
      <w:r w:rsidRPr="00B23E65">
        <w:rPr>
          <w:rFonts w:asciiTheme="minorHAnsi" w:hAnsiTheme="minorHAnsi" w:cs="Times New Roman"/>
          <w:i/>
          <w:sz w:val="22"/>
          <w:szCs w:val="22"/>
          <w:lang w:val="en-AU"/>
        </w:rPr>
        <w:t xml:space="preserve"> i</w:t>
      </w:r>
      <w:r>
        <w:rPr>
          <w:rFonts w:asciiTheme="minorHAnsi" w:hAnsiTheme="minorHAnsi" w:cs="Times New Roman"/>
          <w:sz w:val="22"/>
          <w:szCs w:val="22"/>
          <w:lang w:val="en-AU"/>
        </w:rPr>
        <w:t xml:space="preserve"> infected individuals in a sample of size </w:t>
      </w:r>
      <w:r w:rsidRPr="00B23E65">
        <w:rPr>
          <w:rFonts w:asciiTheme="minorHAnsi" w:hAnsiTheme="minorHAnsi" w:cs="Times New Roman"/>
          <w:i/>
          <w:sz w:val="22"/>
          <w:szCs w:val="22"/>
          <w:lang w:val="en-AU"/>
        </w:rPr>
        <w:t>n</w:t>
      </w:r>
      <w:r>
        <w:rPr>
          <w:rFonts w:asciiTheme="minorHAnsi" w:hAnsiTheme="minorHAnsi" w:cs="Times New Roman"/>
          <w:sz w:val="22"/>
          <w:szCs w:val="22"/>
          <w:lang w:val="en-AU"/>
        </w:rPr>
        <w:t xml:space="preserve"> is</w:t>
      </w:r>
    </w:p>
    <w:p w14:paraId="44D6B729" w14:textId="77777777" w:rsidR="0018088C" w:rsidRDefault="0018088C" w:rsidP="0018088C">
      <w:pPr>
        <w:pStyle w:val="Standard"/>
        <w:tabs>
          <w:tab w:val="left" w:pos="450"/>
        </w:tabs>
        <w:spacing w:before="30" w:line="440" w:lineRule="exact"/>
        <w:rPr>
          <w:rFonts w:asciiTheme="minorHAnsi" w:hAnsiTheme="minorHAnsi" w:cs="Times New Roman"/>
          <w:sz w:val="22"/>
          <w:szCs w:val="22"/>
          <w:lang w:val="en-AU"/>
        </w:rPr>
      </w:pPr>
    </w:p>
    <w:p w14:paraId="7C3D69C5" w14:textId="77777777" w:rsidR="0018088C" w:rsidRDefault="0018088C" w:rsidP="0018088C">
      <w:pPr>
        <w:pStyle w:val="Standard"/>
        <w:tabs>
          <w:tab w:val="left" w:pos="450"/>
          <w:tab w:val="left" w:pos="720"/>
          <w:tab w:val="left" w:pos="7920"/>
        </w:tabs>
        <w:spacing w:before="30"/>
        <w:rPr>
          <w:rFonts w:asciiTheme="minorHAnsi" w:hAnsiTheme="minorHAnsi" w:cs="Times New Roman"/>
          <w:sz w:val="22"/>
          <w:szCs w:val="22"/>
          <w:lang w:val="en-AU"/>
        </w:rPr>
      </w:pPr>
      <w:r>
        <w:rPr>
          <w:rFonts w:asciiTheme="minorHAnsi" w:hAnsiTheme="minorHAnsi" w:cs="Times New Roman"/>
          <w:sz w:val="22"/>
          <w:szCs w:val="22"/>
          <w:lang w:val="en-AU"/>
        </w:rPr>
        <w:tab/>
      </w:r>
      <w:r>
        <w:rPr>
          <w:rFonts w:asciiTheme="minorHAnsi" w:hAnsiTheme="minorHAnsi" w:cs="Times New Roman"/>
          <w:noProof/>
          <w:position w:val="-32"/>
          <w:sz w:val="22"/>
          <w:szCs w:val="22"/>
          <w:lang w:eastAsia="en-US" w:bidi="ar-SA"/>
        </w:rPr>
        <w:drawing>
          <wp:inline distT="0" distB="0" distL="0" distR="0" wp14:anchorId="7C356564" wp14:editId="277FBA58">
            <wp:extent cx="1414145" cy="474345"/>
            <wp:effectExtent l="0" t="0" r="8255" b="825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4145" cy="474345"/>
                    </a:xfrm>
                    <a:prstGeom prst="rect">
                      <a:avLst/>
                    </a:prstGeom>
                    <a:noFill/>
                    <a:ln>
                      <a:noFill/>
                    </a:ln>
                  </pic:spPr>
                </pic:pic>
              </a:graphicData>
            </a:graphic>
          </wp:inline>
        </w:drawing>
      </w:r>
      <w:r>
        <w:rPr>
          <w:rFonts w:asciiTheme="minorHAnsi" w:hAnsiTheme="minorHAnsi" w:cs="Times New Roman"/>
          <w:sz w:val="22"/>
          <w:szCs w:val="22"/>
          <w:lang w:val="en-AU"/>
        </w:rPr>
        <w:tab/>
        <w:t>(S1a)</w:t>
      </w:r>
    </w:p>
    <w:p w14:paraId="5B0FAE84" w14:textId="77777777" w:rsidR="0018088C" w:rsidRDefault="0018088C" w:rsidP="0018088C">
      <w:pPr>
        <w:pStyle w:val="Standard"/>
        <w:tabs>
          <w:tab w:val="left" w:pos="450"/>
        </w:tabs>
        <w:spacing w:before="30" w:line="440" w:lineRule="exact"/>
        <w:rPr>
          <w:rFonts w:asciiTheme="minorHAnsi" w:hAnsiTheme="minorHAnsi" w:cs="Times New Roman"/>
          <w:sz w:val="22"/>
          <w:szCs w:val="22"/>
          <w:lang w:val="en-AU"/>
        </w:rPr>
      </w:pPr>
    </w:p>
    <w:p w14:paraId="03A6D2DA" w14:textId="77777777" w:rsidR="0018088C" w:rsidRDefault="0018088C" w:rsidP="0018088C">
      <w:pPr>
        <w:pStyle w:val="Standard"/>
        <w:tabs>
          <w:tab w:val="left" w:pos="450"/>
          <w:tab w:val="left" w:pos="720"/>
          <w:tab w:val="left" w:pos="7920"/>
        </w:tabs>
        <w:spacing w:before="30"/>
        <w:rPr>
          <w:rFonts w:asciiTheme="minorHAnsi" w:hAnsiTheme="minorHAnsi" w:cs="Times New Roman"/>
          <w:sz w:val="22"/>
          <w:szCs w:val="22"/>
          <w:lang w:val="en-AU"/>
        </w:rPr>
      </w:pPr>
      <w:r>
        <w:rPr>
          <w:rFonts w:asciiTheme="minorHAnsi" w:hAnsiTheme="minorHAnsi" w:cs="Times New Roman"/>
          <w:sz w:val="22"/>
          <w:szCs w:val="22"/>
          <w:lang w:val="en-AU"/>
        </w:rPr>
        <w:tab/>
        <w:t xml:space="preserve">where </w:t>
      </w:r>
      <w:r>
        <w:rPr>
          <w:rFonts w:asciiTheme="minorHAnsi" w:hAnsiTheme="minorHAnsi" w:cs="Times New Roman"/>
          <w:noProof/>
          <w:position w:val="-14"/>
          <w:sz w:val="22"/>
          <w:szCs w:val="22"/>
          <w:lang w:eastAsia="en-US" w:bidi="ar-SA"/>
        </w:rPr>
        <w:drawing>
          <wp:inline distT="0" distB="0" distL="0" distR="0" wp14:anchorId="6A1C961C" wp14:editId="65B7AFB3">
            <wp:extent cx="2150745" cy="254000"/>
            <wp:effectExtent l="0" t="0" r="825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0745" cy="254000"/>
                    </a:xfrm>
                    <a:prstGeom prst="rect">
                      <a:avLst/>
                    </a:prstGeom>
                    <a:noFill/>
                    <a:ln>
                      <a:noFill/>
                    </a:ln>
                  </pic:spPr>
                </pic:pic>
              </a:graphicData>
            </a:graphic>
          </wp:inline>
        </w:drawing>
      </w:r>
      <w:r>
        <w:rPr>
          <w:rFonts w:asciiTheme="minorHAnsi" w:hAnsiTheme="minorHAnsi" w:cs="Times New Roman"/>
          <w:sz w:val="22"/>
          <w:szCs w:val="22"/>
          <w:lang w:val="en-AU"/>
        </w:rPr>
        <w:t xml:space="preserve"> and </w:t>
      </w:r>
      <w:r>
        <w:rPr>
          <w:rFonts w:asciiTheme="minorHAnsi" w:hAnsiTheme="minorHAnsi" w:cs="Times New Roman"/>
          <w:noProof/>
          <w:position w:val="-24"/>
          <w:sz w:val="22"/>
          <w:szCs w:val="22"/>
          <w:lang w:eastAsia="en-US" w:bidi="ar-SA"/>
        </w:rPr>
        <w:drawing>
          <wp:inline distT="0" distB="0" distL="0" distR="0" wp14:anchorId="52DC45B6" wp14:editId="676B2F3B">
            <wp:extent cx="626745" cy="406400"/>
            <wp:effectExtent l="0" t="0" r="825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745" cy="406400"/>
                    </a:xfrm>
                    <a:prstGeom prst="rect">
                      <a:avLst/>
                    </a:prstGeom>
                    <a:noFill/>
                    <a:ln>
                      <a:noFill/>
                    </a:ln>
                  </pic:spPr>
                </pic:pic>
              </a:graphicData>
            </a:graphic>
          </wp:inline>
        </w:drawing>
      </w:r>
      <w:r>
        <w:rPr>
          <w:rFonts w:asciiTheme="minorHAnsi" w:hAnsiTheme="minorHAnsi" w:cs="Times New Roman"/>
          <w:sz w:val="22"/>
          <w:szCs w:val="22"/>
          <w:lang w:val="en-AU"/>
        </w:rPr>
        <w:t>.</w:t>
      </w:r>
      <w:r>
        <w:rPr>
          <w:rFonts w:asciiTheme="minorHAnsi" w:hAnsiTheme="minorHAnsi" w:cs="Times New Roman"/>
          <w:sz w:val="22"/>
          <w:szCs w:val="22"/>
          <w:lang w:val="en-AU"/>
        </w:rPr>
        <w:tab/>
        <w:t>(S1b)</w:t>
      </w:r>
    </w:p>
    <w:p w14:paraId="31F3A0F4" w14:textId="77777777" w:rsidR="0018088C" w:rsidRDefault="0018088C" w:rsidP="0018088C">
      <w:pPr>
        <w:pStyle w:val="Standard"/>
        <w:tabs>
          <w:tab w:val="left" w:pos="450"/>
        </w:tabs>
        <w:spacing w:before="30" w:line="440" w:lineRule="exact"/>
        <w:rPr>
          <w:rFonts w:asciiTheme="minorHAnsi" w:hAnsiTheme="minorHAnsi" w:cs="Times New Roman"/>
          <w:sz w:val="22"/>
          <w:szCs w:val="22"/>
          <w:lang w:val="en-AU"/>
        </w:rPr>
      </w:pPr>
    </w:p>
    <w:p w14:paraId="6A728D79" w14:textId="77777777" w:rsidR="0018088C" w:rsidRDefault="0018088C" w:rsidP="0018088C">
      <w:pPr>
        <w:pStyle w:val="Standard"/>
        <w:tabs>
          <w:tab w:val="left" w:pos="450"/>
        </w:tabs>
        <w:spacing w:before="30" w:line="440" w:lineRule="exact"/>
        <w:rPr>
          <w:rFonts w:asciiTheme="minorHAnsi" w:hAnsiTheme="minorHAnsi" w:cs="Times New Roman"/>
          <w:sz w:val="22"/>
          <w:szCs w:val="22"/>
          <w:lang w:val="en-AU"/>
        </w:rPr>
      </w:pPr>
      <w:r>
        <w:rPr>
          <w:rFonts w:asciiTheme="minorHAnsi" w:hAnsiTheme="minorHAnsi" w:cs="Times New Roman"/>
          <w:sz w:val="22"/>
          <w:szCs w:val="22"/>
          <w:lang w:val="en-AU"/>
        </w:rPr>
        <w:t xml:space="preserve">As </w:t>
      </w:r>
      <w:r w:rsidRPr="00F955BA">
        <w:rPr>
          <w:rFonts w:asciiTheme="minorHAnsi" w:hAnsiTheme="minorHAnsi" w:cs="Times New Roman"/>
          <w:i/>
          <w:sz w:val="22"/>
          <w:szCs w:val="22"/>
          <w:lang w:val="en-AU"/>
        </w:rPr>
        <w:t xml:space="preserve">F </w:t>
      </w:r>
      <w:r>
        <w:rPr>
          <w:rFonts w:asciiTheme="minorHAnsi" w:hAnsiTheme="minorHAnsi" w:cs="Times New Roman"/>
          <w:sz w:val="22"/>
          <w:szCs w:val="22"/>
          <w:lang w:val="en-AU"/>
        </w:rPr>
        <w:sym w:font="Symbol" w:char="F0AE"/>
      </w:r>
      <w:r>
        <w:rPr>
          <w:rFonts w:asciiTheme="minorHAnsi" w:hAnsiTheme="minorHAnsi" w:cs="Times New Roman"/>
          <w:sz w:val="22"/>
          <w:szCs w:val="22"/>
          <w:lang w:val="en-AU"/>
        </w:rPr>
        <w:t xml:space="preserve"> 0, the probability model converges to a binomial with parameters </w:t>
      </w:r>
      <w:r w:rsidRPr="00B97C51">
        <w:rPr>
          <w:rFonts w:asciiTheme="minorHAnsi" w:hAnsiTheme="minorHAnsi" w:cs="Times New Roman"/>
          <w:i/>
          <w:sz w:val="22"/>
          <w:szCs w:val="22"/>
          <w:lang w:val="en-AU"/>
        </w:rPr>
        <w:t>n</w:t>
      </w:r>
      <w:r>
        <w:rPr>
          <w:rFonts w:asciiTheme="minorHAnsi" w:hAnsiTheme="minorHAnsi" w:cs="Times New Roman"/>
          <w:sz w:val="22"/>
          <w:szCs w:val="22"/>
          <w:lang w:val="en-AU"/>
        </w:rPr>
        <w:t xml:space="preserve"> and </w:t>
      </w:r>
      <w:r w:rsidRPr="00B97C51">
        <w:rPr>
          <w:rFonts w:asciiTheme="minorHAnsi" w:hAnsiTheme="minorHAnsi" w:cs="Times New Roman"/>
          <w:i/>
          <w:sz w:val="22"/>
          <w:szCs w:val="22"/>
          <w:lang w:val="en-AU"/>
        </w:rPr>
        <w:t>p</w:t>
      </w:r>
      <w:r>
        <w:rPr>
          <w:rFonts w:asciiTheme="minorHAnsi" w:hAnsiTheme="minorHAnsi" w:cs="Times New Roman"/>
          <w:sz w:val="22"/>
          <w:szCs w:val="22"/>
          <w:lang w:val="en-AU"/>
        </w:rPr>
        <w:t>. For a single individual (</w:t>
      </w:r>
      <w:r w:rsidRPr="00D216B6">
        <w:rPr>
          <w:rFonts w:asciiTheme="minorHAnsi" w:hAnsiTheme="minorHAnsi" w:cs="Times New Roman"/>
          <w:i/>
          <w:sz w:val="22"/>
          <w:szCs w:val="22"/>
          <w:lang w:val="en-AU"/>
        </w:rPr>
        <w:t>n</w:t>
      </w:r>
      <w:r>
        <w:rPr>
          <w:rFonts w:asciiTheme="minorHAnsi" w:hAnsiTheme="minorHAnsi" w:cs="Times New Roman"/>
          <w:sz w:val="22"/>
          <w:szCs w:val="22"/>
          <w:lang w:val="en-AU"/>
        </w:rPr>
        <w:t xml:space="preserve"> = 1), infection probability is simply </w:t>
      </w:r>
      <w:r w:rsidRPr="00B709FA">
        <w:rPr>
          <w:rFonts w:asciiTheme="minorHAnsi" w:hAnsiTheme="minorHAnsi" w:cs="Times New Roman"/>
          <w:i/>
          <w:sz w:val="22"/>
          <w:szCs w:val="22"/>
          <w:lang w:val="en-AU"/>
        </w:rPr>
        <w:t>p</w:t>
      </w:r>
      <w:r>
        <w:rPr>
          <w:rFonts w:asciiTheme="minorHAnsi" w:hAnsiTheme="minorHAnsi" w:cs="Times New Roman"/>
          <w:sz w:val="22"/>
          <w:szCs w:val="22"/>
          <w:lang w:val="en-AU"/>
        </w:rPr>
        <w:t xml:space="preserve">, as expected. With larger </w:t>
      </w:r>
      <w:r w:rsidRPr="00504E52">
        <w:rPr>
          <w:rFonts w:asciiTheme="minorHAnsi" w:hAnsiTheme="minorHAnsi" w:cs="Times New Roman"/>
          <w:i/>
          <w:sz w:val="22"/>
          <w:szCs w:val="22"/>
          <w:lang w:val="en-AU"/>
        </w:rPr>
        <w:t>n</w:t>
      </w:r>
      <w:r>
        <w:rPr>
          <w:rFonts w:asciiTheme="minorHAnsi" w:hAnsiTheme="minorHAnsi" w:cs="Times New Roman"/>
          <w:sz w:val="22"/>
          <w:szCs w:val="22"/>
          <w:lang w:val="en-AU"/>
        </w:rPr>
        <w:t xml:space="preserve">, the effect of allowing for </w:t>
      </w:r>
      <w:r w:rsidRPr="00D216B6">
        <w:rPr>
          <w:rFonts w:asciiTheme="minorHAnsi" w:hAnsiTheme="minorHAnsi" w:cs="Times New Roman"/>
          <w:i/>
          <w:sz w:val="22"/>
          <w:szCs w:val="22"/>
          <w:lang w:val="en-AU"/>
        </w:rPr>
        <w:t>F</w:t>
      </w:r>
      <w:r>
        <w:rPr>
          <w:rFonts w:asciiTheme="minorHAnsi" w:hAnsiTheme="minorHAnsi" w:cs="Times New Roman"/>
          <w:sz w:val="22"/>
          <w:szCs w:val="22"/>
          <w:lang w:val="en-AU"/>
        </w:rPr>
        <w:t xml:space="preserve"> &gt; 0 is roughly to reduce the weight given to large samples. The parameters </w:t>
      </w:r>
      <w:r w:rsidRPr="00875F41">
        <w:rPr>
          <w:rFonts w:asciiTheme="minorHAnsi" w:hAnsiTheme="minorHAnsi" w:cs="Times New Roman"/>
          <w:i/>
          <w:sz w:val="22"/>
          <w:szCs w:val="22"/>
          <w:lang w:val="en-AU"/>
        </w:rPr>
        <w:t>r</w:t>
      </w:r>
      <w:r w:rsidRPr="00875F41">
        <w:rPr>
          <w:rFonts w:asciiTheme="minorHAnsi" w:hAnsiTheme="minorHAnsi" w:cs="Times New Roman"/>
          <w:sz w:val="22"/>
          <w:szCs w:val="22"/>
          <w:vertAlign w:val="subscript"/>
          <w:lang w:val="en-AU"/>
        </w:rPr>
        <w:t>0</w:t>
      </w:r>
      <w:r>
        <w:rPr>
          <w:rFonts w:asciiTheme="minorHAnsi" w:hAnsiTheme="minorHAnsi" w:cs="Times New Roman"/>
          <w:sz w:val="22"/>
          <w:szCs w:val="22"/>
          <w:lang w:val="en-AU"/>
        </w:rPr>
        <w:t xml:space="preserve"> </w:t>
      </w:r>
      <w:r w:rsidRPr="00875F41">
        <w:rPr>
          <w:rFonts w:asciiTheme="minorHAnsi" w:hAnsiTheme="minorHAnsi" w:cs="Times New Roman"/>
          <w:sz w:val="22"/>
          <w:szCs w:val="22"/>
          <w:lang w:val="en-AU"/>
        </w:rPr>
        <w:t>and</w:t>
      </w:r>
      <w:r>
        <w:rPr>
          <w:rFonts w:asciiTheme="minorHAnsi" w:hAnsiTheme="minorHAnsi" w:cs="Times New Roman"/>
          <w:sz w:val="22"/>
          <w:szCs w:val="22"/>
          <w:lang w:val="en-AU"/>
        </w:rPr>
        <w:t xml:space="preserve"> </w:t>
      </w:r>
      <w:r w:rsidRPr="00875F41">
        <w:rPr>
          <w:rFonts w:asciiTheme="minorHAnsi" w:hAnsiTheme="minorHAnsi" w:cs="Times New Roman"/>
          <w:i/>
          <w:sz w:val="22"/>
          <w:szCs w:val="22"/>
          <w:lang w:val="en-AU"/>
        </w:rPr>
        <w:t>w</w:t>
      </w:r>
      <w:r>
        <w:rPr>
          <w:rFonts w:asciiTheme="minorHAnsi" w:hAnsiTheme="minorHAnsi" w:cs="Times New Roman"/>
          <w:sz w:val="22"/>
          <w:szCs w:val="22"/>
          <w:lang w:val="en-AU"/>
        </w:rPr>
        <w:t xml:space="preserve"> in model (7) were estimated both with and without accounting for this additional variation.</w:t>
      </w:r>
    </w:p>
    <w:p w14:paraId="47AA5D2F" w14:textId="77777777" w:rsidR="0018088C" w:rsidRDefault="0018088C" w:rsidP="0018088C">
      <w:pPr>
        <w:pStyle w:val="Standard"/>
        <w:tabs>
          <w:tab w:val="left" w:pos="450"/>
        </w:tabs>
        <w:spacing w:before="30" w:line="440" w:lineRule="exact"/>
        <w:rPr>
          <w:rFonts w:asciiTheme="minorHAnsi" w:hAnsiTheme="minorHAnsi" w:cs="Times New Roman"/>
          <w:sz w:val="22"/>
          <w:szCs w:val="22"/>
          <w:lang w:val="en-AU"/>
        </w:rPr>
      </w:pPr>
    </w:p>
    <w:p w14:paraId="6DC5A212" w14:textId="77777777" w:rsidR="0018088C" w:rsidRPr="00446276" w:rsidRDefault="0018088C" w:rsidP="0018088C">
      <w:pPr>
        <w:rPr>
          <w:rFonts w:cs="Times New Roman"/>
          <w:i/>
        </w:rPr>
      </w:pPr>
      <w:r w:rsidRPr="00446276">
        <w:rPr>
          <w:rFonts w:cs="Times New Roman"/>
          <w:i/>
        </w:rPr>
        <w:t xml:space="preserve">1.1.1. </w:t>
      </w:r>
      <w:r>
        <w:rPr>
          <w:rFonts w:cs="Times New Roman"/>
          <w:i/>
        </w:rPr>
        <w:t>Results</w:t>
      </w:r>
    </w:p>
    <w:p w14:paraId="51E7901D" w14:textId="32892ED7" w:rsidR="0018088C" w:rsidRDefault="0018088C" w:rsidP="0018088C">
      <w:pPr>
        <w:tabs>
          <w:tab w:val="left" w:pos="450"/>
        </w:tabs>
        <w:spacing w:before="20" w:after="20" w:line="440" w:lineRule="exact"/>
        <w:rPr>
          <w:rFonts w:cs="Times New Roman"/>
        </w:rPr>
      </w:pPr>
      <w:r>
        <w:rPr>
          <w:rFonts w:cs="Times New Roman"/>
        </w:rPr>
        <w:t xml:space="preserve">We re-estimated the parameters </w:t>
      </w:r>
      <w:r w:rsidRPr="00875F41">
        <w:rPr>
          <w:rFonts w:cs="Times New Roman"/>
          <w:i/>
        </w:rPr>
        <w:t>r</w:t>
      </w:r>
      <w:r w:rsidRPr="00875F41">
        <w:rPr>
          <w:rFonts w:cs="Times New Roman"/>
          <w:vertAlign w:val="subscript"/>
        </w:rPr>
        <w:t>0</w:t>
      </w:r>
      <w:r>
        <w:rPr>
          <w:rFonts w:cs="Times New Roman"/>
        </w:rPr>
        <w:t xml:space="preserve"> </w:t>
      </w:r>
      <w:r w:rsidRPr="00875F41">
        <w:rPr>
          <w:rFonts w:cs="Times New Roman"/>
        </w:rPr>
        <w:t>and</w:t>
      </w:r>
      <w:r>
        <w:rPr>
          <w:rFonts w:cs="Times New Roman"/>
        </w:rPr>
        <w:t xml:space="preserve"> </w:t>
      </w:r>
      <w:r w:rsidRPr="00875F41">
        <w:rPr>
          <w:rFonts w:cs="Times New Roman"/>
          <w:i/>
        </w:rPr>
        <w:t>w</w:t>
      </w:r>
      <w:r>
        <w:rPr>
          <w:rFonts w:cs="Times New Roman"/>
        </w:rPr>
        <w:t xml:space="preserve">, describing wave position and wave width, using the sampling model (S1), which introduces the parameter </w:t>
      </w:r>
      <w:r w:rsidRPr="0035723D">
        <w:rPr>
          <w:rFonts w:cs="Times New Roman"/>
          <w:i/>
        </w:rPr>
        <w:t>F</w:t>
      </w:r>
      <w:r>
        <w:rPr>
          <w:rFonts w:cs="Times New Roman"/>
        </w:rPr>
        <w:t xml:space="preserve"> describing additional sources of variation. Two approaches were taken: we estimated </w:t>
      </w:r>
      <w:r w:rsidRPr="007D7A94">
        <w:rPr>
          <w:rFonts w:cs="Times New Roman"/>
          <w:i/>
        </w:rPr>
        <w:t>F</w:t>
      </w:r>
      <w:r>
        <w:rPr>
          <w:rFonts w:cs="Times New Roman"/>
        </w:rPr>
        <w:t xml:space="preserve"> separately for each of the nine time intervals (see </w:t>
      </w:r>
      <w:r w:rsidR="00EB5FB9">
        <w:rPr>
          <w:rFonts w:cs="Times New Roman"/>
        </w:rPr>
        <w:t>S2</w:t>
      </w:r>
      <w:r>
        <w:rPr>
          <w:rFonts w:cs="Times New Roman"/>
        </w:rPr>
        <w:t xml:space="preserve">Table) and alternatively estimated a single </w:t>
      </w:r>
      <w:r w:rsidRPr="007D7A94">
        <w:rPr>
          <w:rFonts w:cs="Times New Roman"/>
          <w:i/>
        </w:rPr>
        <w:t>F</w:t>
      </w:r>
      <w:r>
        <w:rPr>
          <w:rFonts w:cs="Times New Roman"/>
        </w:rPr>
        <w:t xml:space="preserve"> assumed to apply across all time intervals. The </w:t>
      </w:r>
      <w:r w:rsidR="00295964">
        <w:rPr>
          <w:rFonts w:cs="Times New Roman"/>
        </w:rPr>
        <w:t xml:space="preserve">likelihood results are in </w:t>
      </w:r>
      <w:r w:rsidR="00EB5FB9">
        <w:rPr>
          <w:rFonts w:cs="Times New Roman"/>
        </w:rPr>
        <w:t xml:space="preserve">S3 </w:t>
      </w:r>
      <w:r w:rsidR="00295964">
        <w:rPr>
          <w:rFonts w:cs="Times New Roman"/>
        </w:rPr>
        <w:t>Table</w:t>
      </w:r>
      <w:r>
        <w:rPr>
          <w:rFonts w:cs="Times New Roman"/>
        </w:rPr>
        <w:t xml:space="preserve"> and </w:t>
      </w:r>
      <w:r w:rsidR="00EB5FB9">
        <w:rPr>
          <w:rFonts w:cs="Times New Roman"/>
        </w:rPr>
        <w:t>S4</w:t>
      </w:r>
      <w:r w:rsidR="00EB5FB9">
        <w:rPr>
          <w:rFonts w:cs="Times New Roman"/>
        </w:rPr>
        <w:t xml:space="preserve"> </w:t>
      </w:r>
      <w:r w:rsidR="00295964">
        <w:rPr>
          <w:rFonts w:cs="Times New Roman"/>
        </w:rPr>
        <w:t>Table</w:t>
      </w:r>
      <w:r>
        <w:rPr>
          <w:rFonts w:cs="Times New Roman"/>
        </w:rPr>
        <w:t>.</w:t>
      </w:r>
    </w:p>
    <w:p w14:paraId="3B9080E0" w14:textId="41641623" w:rsidR="0018088C" w:rsidRDefault="0018088C" w:rsidP="0018088C">
      <w:pPr>
        <w:tabs>
          <w:tab w:val="left" w:pos="450"/>
        </w:tabs>
        <w:spacing w:before="20" w:after="20" w:line="440" w:lineRule="exact"/>
        <w:rPr>
          <w:rFonts w:cs="Times New Roman"/>
        </w:rPr>
      </w:pPr>
      <w:r>
        <w:rPr>
          <w:rFonts w:cs="Times New Roman"/>
        </w:rPr>
        <w:lastRenderedPageBreak/>
        <w:tab/>
        <w:t>For EHW (</w:t>
      </w:r>
      <w:r w:rsidR="00EB5FB9">
        <w:rPr>
          <w:rFonts w:cs="Times New Roman"/>
        </w:rPr>
        <w:t>S3</w:t>
      </w:r>
      <w:r w:rsidR="00EB5FB9">
        <w:rPr>
          <w:rFonts w:cs="Times New Roman"/>
        </w:rPr>
        <w:t xml:space="preserve"> </w:t>
      </w:r>
      <w:r>
        <w:rPr>
          <w:rFonts w:cs="Times New Roman"/>
        </w:rPr>
        <w:t xml:space="preserve">Table), when estimating a single </w:t>
      </w:r>
      <w:r w:rsidRPr="00077712">
        <w:rPr>
          <w:rFonts w:cs="Times New Roman"/>
          <w:i/>
        </w:rPr>
        <w:t>F</w:t>
      </w:r>
      <w:r>
        <w:rPr>
          <w:rFonts w:cs="Times New Roman"/>
        </w:rPr>
        <w:t xml:space="preserve">, we obtain the maximum likelihood estimate (MLE) </w:t>
      </w:r>
      <w:r w:rsidRPr="00077712">
        <w:rPr>
          <w:rFonts w:cs="Times New Roman"/>
          <w:i/>
        </w:rPr>
        <w:t>F</w:t>
      </w:r>
      <w:r>
        <w:rPr>
          <w:rFonts w:cs="Times New Roman"/>
        </w:rPr>
        <w:t xml:space="preserve"> = 0.226. Estimating </w:t>
      </w:r>
      <w:r w:rsidRPr="00AE1C3B">
        <w:rPr>
          <w:rFonts w:cs="Times New Roman"/>
          <w:i/>
        </w:rPr>
        <w:t>F</w:t>
      </w:r>
      <w:r>
        <w:rPr>
          <w:rFonts w:cs="Times New Roman"/>
        </w:rPr>
        <w:t xml:space="preserve"> separately for each time interval significantly improves the fit to the data, increasing the log likelihood by </w:t>
      </w:r>
      <w:r w:rsidRPr="003C74AF">
        <w:rPr>
          <w:rFonts w:cs="Times New Roman"/>
        </w:rPr>
        <w:t>18.93</w:t>
      </w:r>
      <w:r>
        <w:rPr>
          <w:rFonts w:cs="Times New Roman"/>
        </w:rPr>
        <w:t>,</w:t>
      </w:r>
      <w:r w:rsidRPr="003C74AF">
        <w:rPr>
          <w:rFonts w:cs="Times New Roman"/>
        </w:rPr>
        <w:t xml:space="preserve"> </w:t>
      </w:r>
      <w:r>
        <w:rPr>
          <w:rFonts w:cs="Times New Roman"/>
        </w:rPr>
        <w:t>which is highly significant (2</w:t>
      </w:r>
      <w:r>
        <w:rPr>
          <w:rFonts w:cs="Times New Roman"/>
        </w:rPr>
        <w:sym w:font="Symbol" w:char="F044"/>
      </w:r>
      <w:r>
        <w:rPr>
          <w:rFonts w:cs="Times New Roman"/>
        </w:rPr>
        <w:t>Log(</w:t>
      </w:r>
      <w:r w:rsidRPr="006A7AD9">
        <w:rPr>
          <w:rFonts w:cs="Times New Roman"/>
          <w:i/>
        </w:rPr>
        <w:t>L</w:t>
      </w:r>
      <w:r>
        <w:rPr>
          <w:rFonts w:cs="Times New Roman"/>
        </w:rPr>
        <w:t>) is</w:t>
      </w:r>
      <w:r>
        <w:rPr>
          <w:rFonts w:ascii="Calibri" w:hAnsi="Calibri" w:cs="Times New Roman"/>
          <w:noProof/>
          <w:position w:val="-10"/>
          <w:lang w:val="en-US"/>
        </w:rPr>
        <w:drawing>
          <wp:inline distT="0" distB="0" distL="0" distR="0" wp14:anchorId="15FFDBA7" wp14:editId="139A5AC1">
            <wp:extent cx="199390" cy="244475"/>
            <wp:effectExtent l="0" t="0" r="3810" b="952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90" cy="244475"/>
                    </a:xfrm>
                    <a:prstGeom prst="rect">
                      <a:avLst/>
                    </a:prstGeom>
                    <a:noFill/>
                    <a:ln>
                      <a:noFill/>
                    </a:ln>
                  </pic:spPr>
                </pic:pic>
              </a:graphicData>
            </a:graphic>
          </wp:inline>
        </w:drawing>
      </w:r>
      <w:r>
        <w:rPr>
          <w:rFonts w:ascii="Calibri" w:hAnsi="Calibri" w:cs="Times New Roman"/>
        </w:rPr>
        <w:t>,</w:t>
      </w:r>
      <w:r>
        <w:rPr>
          <w:rFonts w:cs="Times New Roman"/>
        </w:rPr>
        <w:t xml:space="preserve"> </w:t>
      </w:r>
      <w:r w:rsidRPr="00F1542C">
        <w:rPr>
          <w:rFonts w:cs="Times New Roman"/>
          <w:i/>
        </w:rPr>
        <w:t>P</w:t>
      </w:r>
      <w:r>
        <w:rPr>
          <w:rFonts w:cs="Times New Roman"/>
        </w:rPr>
        <w:t xml:space="preserve"> &lt; 10</w:t>
      </w:r>
      <w:r>
        <w:rPr>
          <w:rFonts w:cs="Times New Roman"/>
          <w:vertAlign w:val="superscript"/>
        </w:rPr>
        <w:t>–4</w:t>
      </w:r>
      <w:r>
        <w:rPr>
          <w:rFonts w:cs="Times New Roman"/>
        </w:rPr>
        <w:t xml:space="preserve">). The standard deviation (sd) of the estimates of </w:t>
      </w:r>
      <w:r w:rsidRPr="00812390">
        <w:rPr>
          <w:rFonts w:cs="Times New Roman"/>
          <w:i/>
        </w:rPr>
        <w:t>F</w:t>
      </w:r>
      <w:r>
        <w:rPr>
          <w:rFonts w:cs="Times New Roman"/>
        </w:rPr>
        <w:t xml:space="preserve"> is 0.11 (with range </w:t>
      </w:r>
      <w:r w:rsidRPr="003C74AF">
        <w:rPr>
          <w:rFonts w:cs="Times New Roman"/>
        </w:rPr>
        <w:t>0.077-0.363</w:t>
      </w:r>
      <w:r>
        <w:rPr>
          <w:rFonts w:cs="Times New Roman"/>
        </w:rPr>
        <w:t>). Estimating</w:t>
      </w:r>
      <w:r w:rsidRPr="003C74AF">
        <w:rPr>
          <w:rFonts w:cs="Times New Roman"/>
        </w:rPr>
        <w:t xml:space="preserve"> </w:t>
      </w:r>
      <w:r w:rsidRPr="00907FDC">
        <w:rPr>
          <w:rFonts w:cs="Times New Roman"/>
          <w:i/>
        </w:rPr>
        <w:t>F</w:t>
      </w:r>
      <w:r w:rsidRPr="003C74AF">
        <w:rPr>
          <w:rFonts w:cs="Times New Roman"/>
        </w:rPr>
        <w:t xml:space="preserve"> </w:t>
      </w:r>
      <w:r>
        <w:rPr>
          <w:rFonts w:cs="Times New Roman"/>
        </w:rPr>
        <w:t>for</w:t>
      </w:r>
      <w:r w:rsidRPr="003C74AF">
        <w:rPr>
          <w:rFonts w:cs="Times New Roman"/>
        </w:rPr>
        <w:t xml:space="preserve"> each interval </w:t>
      </w:r>
      <w:r>
        <w:rPr>
          <w:rFonts w:cs="Times New Roman"/>
        </w:rPr>
        <w:t>produces</w:t>
      </w:r>
      <w:r w:rsidRPr="003C74AF">
        <w:rPr>
          <w:rFonts w:cs="Times New Roman"/>
        </w:rPr>
        <w:t xml:space="preserve"> </w:t>
      </w:r>
      <w:r w:rsidRPr="003A1FBA">
        <w:rPr>
          <w:rFonts w:cs="Times New Roman"/>
          <w:i/>
        </w:rPr>
        <w:t>c</w:t>
      </w:r>
      <w:r>
        <w:rPr>
          <w:rFonts w:cs="Times New Roman"/>
          <w:vertAlign w:val="subscript"/>
        </w:rPr>
        <w:t>d</w:t>
      </w:r>
      <w:r w:rsidRPr="003A1FBA">
        <w:rPr>
          <w:rFonts w:cs="Times New Roman"/>
        </w:rPr>
        <w:t xml:space="preserve"> </w:t>
      </w:r>
      <w:r w:rsidRPr="003C74AF">
        <w:rPr>
          <w:rFonts w:cs="Times New Roman"/>
        </w:rPr>
        <w:t>=</w:t>
      </w:r>
      <w:r>
        <w:rPr>
          <w:rFonts w:cs="Times New Roman"/>
        </w:rPr>
        <w:t xml:space="preserve"> </w:t>
      </w:r>
      <w:r w:rsidRPr="003C74AF">
        <w:rPr>
          <w:rFonts w:cs="Times New Roman"/>
        </w:rPr>
        <w:t>0.469</w:t>
      </w:r>
      <w:r>
        <w:rPr>
          <w:rFonts w:cs="Times New Roman"/>
        </w:rPr>
        <w:t xml:space="preserve"> m/day and</w:t>
      </w:r>
      <w:r w:rsidRPr="003C74AF">
        <w:rPr>
          <w:rFonts w:cs="Times New Roman"/>
        </w:rPr>
        <w:t xml:space="preserve"> </w:t>
      </w:r>
      <w:r w:rsidRPr="00E61983">
        <w:rPr>
          <w:rFonts w:cs="Times New Roman"/>
          <w:i/>
        </w:rPr>
        <w:t>w</w:t>
      </w:r>
      <w:r>
        <w:rPr>
          <w:rFonts w:cs="Times New Roman"/>
        </w:rPr>
        <w:t xml:space="preserve"> </w:t>
      </w:r>
      <w:r w:rsidRPr="003C74AF">
        <w:rPr>
          <w:rFonts w:cs="Times New Roman"/>
        </w:rPr>
        <w:t>=</w:t>
      </w:r>
      <w:r>
        <w:rPr>
          <w:rFonts w:cs="Times New Roman"/>
        </w:rPr>
        <w:t xml:space="preserve"> 456 m. In contrast, assuming</w:t>
      </w:r>
      <w:r w:rsidRPr="003C74AF">
        <w:rPr>
          <w:rFonts w:cs="Times New Roman"/>
        </w:rPr>
        <w:t xml:space="preserve"> a </w:t>
      </w:r>
      <w:r>
        <w:rPr>
          <w:rFonts w:cs="Times New Roman"/>
        </w:rPr>
        <w:t xml:space="preserve">constant </w:t>
      </w:r>
      <w:r w:rsidRPr="0018127B">
        <w:rPr>
          <w:rFonts w:cs="Times New Roman"/>
          <w:i/>
        </w:rPr>
        <w:t>F</w:t>
      </w:r>
      <w:r>
        <w:rPr>
          <w:rFonts w:cs="Times New Roman"/>
        </w:rPr>
        <w:t xml:space="preserve"> across intervals (</w:t>
      </w:r>
      <w:r w:rsidRPr="00077712">
        <w:rPr>
          <w:rFonts w:cs="Times New Roman"/>
          <w:i/>
        </w:rPr>
        <w:t>F</w:t>
      </w:r>
      <w:r>
        <w:rPr>
          <w:rFonts w:cs="Times New Roman"/>
        </w:rPr>
        <w:t xml:space="preserve"> = 0.226), produces </w:t>
      </w:r>
      <w:r w:rsidRPr="003A1FBA">
        <w:rPr>
          <w:rFonts w:cs="Times New Roman"/>
          <w:i/>
        </w:rPr>
        <w:t>c</w:t>
      </w:r>
      <w:r>
        <w:rPr>
          <w:rFonts w:cs="Times New Roman"/>
          <w:vertAlign w:val="subscript"/>
        </w:rPr>
        <w:t>d</w:t>
      </w:r>
      <w:r w:rsidRPr="003A1FBA">
        <w:rPr>
          <w:rFonts w:cs="Times New Roman"/>
        </w:rPr>
        <w:t xml:space="preserve"> </w:t>
      </w:r>
      <w:r>
        <w:rPr>
          <w:rFonts w:cs="Times New Roman"/>
        </w:rPr>
        <w:t xml:space="preserve">= 0.477 m/day and </w:t>
      </w:r>
      <w:r w:rsidRPr="00A03427">
        <w:rPr>
          <w:rFonts w:cs="Times New Roman"/>
          <w:i/>
        </w:rPr>
        <w:t>w</w:t>
      </w:r>
      <w:r>
        <w:rPr>
          <w:rFonts w:cs="Times New Roman"/>
        </w:rPr>
        <w:t xml:space="preserve"> </w:t>
      </w:r>
      <w:r w:rsidRPr="003C74AF">
        <w:rPr>
          <w:rFonts w:cs="Times New Roman"/>
        </w:rPr>
        <w:t>=</w:t>
      </w:r>
      <w:r>
        <w:rPr>
          <w:rFonts w:cs="Times New Roman"/>
        </w:rPr>
        <w:t xml:space="preserve"> </w:t>
      </w:r>
      <w:r w:rsidRPr="003C74AF">
        <w:rPr>
          <w:rFonts w:cs="Times New Roman"/>
        </w:rPr>
        <w:t>454</w:t>
      </w:r>
      <w:r>
        <w:rPr>
          <w:rFonts w:cs="Times New Roman"/>
        </w:rPr>
        <w:t xml:space="preserve"> </w:t>
      </w:r>
      <w:r w:rsidRPr="003C74AF">
        <w:rPr>
          <w:rFonts w:cs="Times New Roman"/>
        </w:rPr>
        <w:t>m</w:t>
      </w:r>
      <w:r>
        <w:rPr>
          <w:rFonts w:cs="Times New Roman"/>
        </w:rPr>
        <w:t>. (Like our estimates from the pooled data, these</w:t>
      </w:r>
      <w:r w:rsidRPr="003C74AF">
        <w:rPr>
          <w:rFonts w:cs="Times New Roman"/>
        </w:rPr>
        <w:t xml:space="preserve"> were based on data after day 120). For simplicity we assume</w:t>
      </w:r>
      <w:r w:rsidRPr="003574D8">
        <w:rPr>
          <w:rFonts w:cs="Times New Roman"/>
          <w:i/>
        </w:rPr>
        <w:t xml:space="preserve"> F</w:t>
      </w:r>
      <w:r>
        <w:rPr>
          <w:rFonts w:cs="Times New Roman"/>
        </w:rPr>
        <w:t xml:space="preserve"> </w:t>
      </w:r>
      <w:r w:rsidRPr="003C74AF">
        <w:rPr>
          <w:rFonts w:cs="Times New Roman"/>
        </w:rPr>
        <w:t>=</w:t>
      </w:r>
      <w:r>
        <w:rPr>
          <w:rFonts w:cs="Times New Roman"/>
        </w:rPr>
        <w:t xml:space="preserve"> </w:t>
      </w:r>
      <w:r w:rsidRPr="003C74AF">
        <w:rPr>
          <w:rFonts w:cs="Times New Roman"/>
        </w:rPr>
        <w:t xml:space="preserve">0.226 </w:t>
      </w:r>
      <w:r>
        <w:rPr>
          <w:rFonts w:cs="Times New Roman"/>
        </w:rPr>
        <w:t>in our subsequent EHW</w:t>
      </w:r>
      <w:r w:rsidRPr="003C74AF">
        <w:rPr>
          <w:rFonts w:cs="Times New Roman"/>
        </w:rPr>
        <w:t xml:space="preserve"> </w:t>
      </w:r>
      <w:r>
        <w:rPr>
          <w:rFonts w:cs="Times New Roman"/>
        </w:rPr>
        <w:t>analyse</w:t>
      </w:r>
      <w:r w:rsidRPr="003C74AF">
        <w:rPr>
          <w:rFonts w:cs="Times New Roman"/>
        </w:rPr>
        <w:t>s.</w:t>
      </w:r>
      <w:r>
        <w:rPr>
          <w:rFonts w:cs="Times New Roman"/>
        </w:rPr>
        <w:t xml:space="preserve"> </w:t>
      </w:r>
    </w:p>
    <w:p w14:paraId="31ACF122" w14:textId="05856090" w:rsidR="0018088C" w:rsidRPr="0076176B" w:rsidRDefault="0018088C" w:rsidP="0018088C">
      <w:pPr>
        <w:tabs>
          <w:tab w:val="left" w:pos="450"/>
        </w:tabs>
        <w:spacing w:before="20" w:after="20" w:line="440" w:lineRule="exact"/>
        <w:rPr>
          <w:rFonts w:cs="Times New Roman"/>
        </w:rPr>
      </w:pPr>
      <w:r>
        <w:rPr>
          <w:rFonts w:cs="Times New Roman"/>
        </w:rPr>
        <w:tab/>
        <w:t>For PP (</w:t>
      </w:r>
      <w:r w:rsidR="00705027">
        <w:rPr>
          <w:rFonts w:cs="Times New Roman"/>
        </w:rPr>
        <w:t>S4</w:t>
      </w:r>
      <w:r w:rsidR="00705027">
        <w:rPr>
          <w:rFonts w:cs="Times New Roman"/>
        </w:rPr>
        <w:t xml:space="preserve"> </w:t>
      </w:r>
      <w:r>
        <w:rPr>
          <w:rFonts w:cs="Times New Roman"/>
        </w:rPr>
        <w:t xml:space="preserve">Table), if we assume a constant </w:t>
      </w:r>
      <w:r w:rsidRPr="00E520C2">
        <w:rPr>
          <w:rFonts w:cs="Times New Roman"/>
          <w:i/>
        </w:rPr>
        <w:t>F</w:t>
      </w:r>
      <w:r>
        <w:rPr>
          <w:rFonts w:cs="Times New Roman"/>
        </w:rPr>
        <w:t xml:space="preserve"> while analysing the pooled data, we obtain the MLE </w:t>
      </w:r>
      <w:r w:rsidRPr="00995E20">
        <w:rPr>
          <w:rFonts w:cs="Times New Roman"/>
          <w:i/>
        </w:rPr>
        <w:t>F</w:t>
      </w:r>
      <w:r w:rsidRPr="00031130">
        <w:rPr>
          <w:rFonts w:cs="Times New Roman"/>
        </w:rPr>
        <w:t xml:space="preserve"> </w:t>
      </w:r>
      <w:r>
        <w:rPr>
          <w:rFonts w:cs="Times New Roman"/>
        </w:rPr>
        <w:t>=</w:t>
      </w:r>
      <w:r w:rsidRPr="00031130">
        <w:rPr>
          <w:rFonts w:cs="Times New Roman"/>
        </w:rPr>
        <w:t xml:space="preserve"> </w:t>
      </w:r>
      <w:r>
        <w:rPr>
          <w:rFonts w:cs="Times New Roman"/>
        </w:rPr>
        <w:t xml:space="preserve">0.167. Assuming that </w:t>
      </w:r>
      <w:r w:rsidRPr="00985A3A">
        <w:rPr>
          <w:rFonts w:cs="Times New Roman"/>
          <w:i/>
        </w:rPr>
        <w:t>F</w:t>
      </w:r>
      <w:r>
        <w:rPr>
          <w:rFonts w:cs="Times New Roman"/>
        </w:rPr>
        <w:t xml:space="preserve"> does not vary reduces the likelihood by</w:t>
      </w:r>
      <w:r w:rsidRPr="00031130">
        <w:rPr>
          <w:rFonts w:cs="Times New Roman"/>
        </w:rPr>
        <w:t xml:space="preserve"> 20.8 </w:t>
      </w:r>
      <w:r>
        <w:rPr>
          <w:rFonts w:cs="Times New Roman"/>
        </w:rPr>
        <w:t>relative to</w:t>
      </w:r>
      <w:r w:rsidRPr="00031130">
        <w:rPr>
          <w:rFonts w:cs="Times New Roman"/>
        </w:rPr>
        <w:t xml:space="preserve"> allowing </w:t>
      </w:r>
      <w:r w:rsidRPr="00995E20">
        <w:rPr>
          <w:rFonts w:cs="Times New Roman"/>
          <w:i/>
        </w:rPr>
        <w:t xml:space="preserve">F </w:t>
      </w:r>
      <w:r>
        <w:rPr>
          <w:rFonts w:cs="Times New Roman"/>
        </w:rPr>
        <w:t>to</w:t>
      </w:r>
      <w:r w:rsidRPr="00031130">
        <w:rPr>
          <w:rFonts w:cs="Times New Roman"/>
        </w:rPr>
        <w:t xml:space="preserve"> vary across the </w:t>
      </w:r>
      <w:r>
        <w:rPr>
          <w:rFonts w:cs="Times New Roman"/>
        </w:rPr>
        <w:t>nine</w:t>
      </w:r>
      <w:r w:rsidRPr="00031130">
        <w:rPr>
          <w:rFonts w:cs="Times New Roman"/>
        </w:rPr>
        <w:t xml:space="preserve"> intervals</w:t>
      </w:r>
      <w:r>
        <w:rPr>
          <w:rFonts w:cs="Times New Roman"/>
        </w:rPr>
        <w:t xml:space="preserve"> (</w:t>
      </w:r>
      <w:r>
        <w:rPr>
          <w:rFonts w:ascii="Calibri" w:hAnsi="Calibri" w:cs="Times New Roman"/>
          <w:noProof/>
          <w:position w:val="-10"/>
          <w:lang w:val="en-US"/>
        </w:rPr>
        <w:drawing>
          <wp:inline distT="0" distB="0" distL="0" distR="0" wp14:anchorId="239863B9" wp14:editId="2836803B">
            <wp:extent cx="199390" cy="244475"/>
            <wp:effectExtent l="0" t="0" r="3810" b="9525"/>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90" cy="244475"/>
                    </a:xfrm>
                    <a:prstGeom prst="rect">
                      <a:avLst/>
                    </a:prstGeom>
                    <a:noFill/>
                    <a:ln>
                      <a:noFill/>
                    </a:ln>
                  </pic:spPr>
                </pic:pic>
              </a:graphicData>
            </a:graphic>
          </wp:inline>
        </w:drawing>
      </w:r>
      <w:r>
        <w:rPr>
          <w:rFonts w:ascii="Calibri" w:hAnsi="Calibri" w:cs="Times New Roman"/>
        </w:rPr>
        <w:t>,</w:t>
      </w:r>
      <w:r>
        <w:rPr>
          <w:rFonts w:cs="Times New Roman"/>
        </w:rPr>
        <w:t xml:space="preserve"> </w:t>
      </w:r>
      <w:r w:rsidRPr="00F1542C">
        <w:rPr>
          <w:rFonts w:cs="Times New Roman"/>
          <w:i/>
        </w:rPr>
        <w:t>P</w:t>
      </w:r>
      <w:r>
        <w:rPr>
          <w:rFonts w:cs="Times New Roman"/>
        </w:rPr>
        <w:t xml:space="preserve"> &lt; 10</w:t>
      </w:r>
      <w:r>
        <w:rPr>
          <w:rFonts w:cs="Times New Roman"/>
          <w:vertAlign w:val="superscript"/>
        </w:rPr>
        <w:t xml:space="preserve">–5 </w:t>
      </w:r>
      <w:r>
        <w:rPr>
          <w:rFonts w:cs="Times New Roman"/>
        </w:rPr>
        <w:t>).</w:t>
      </w:r>
      <w:r w:rsidRPr="00031130">
        <w:rPr>
          <w:rFonts w:cs="Times New Roman"/>
        </w:rPr>
        <w:t xml:space="preserve"> </w:t>
      </w:r>
      <w:r>
        <w:rPr>
          <w:rFonts w:cs="Times New Roman"/>
        </w:rPr>
        <w:t>The sd</w:t>
      </w:r>
      <w:r w:rsidRPr="00031130">
        <w:rPr>
          <w:rFonts w:cs="Times New Roman"/>
        </w:rPr>
        <w:t xml:space="preserve"> of </w:t>
      </w:r>
      <w:r>
        <w:rPr>
          <w:rFonts w:cs="Times New Roman"/>
        </w:rPr>
        <w:t xml:space="preserve">our estimates of </w:t>
      </w:r>
      <w:r w:rsidRPr="00E61983">
        <w:rPr>
          <w:rFonts w:cs="Times New Roman"/>
          <w:i/>
        </w:rPr>
        <w:t>F</w:t>
      </w:r>
      <w:r w:rsidRPr="00031130">
        <w:rPr>
          <w:rFonts w:cs="Times New Roman"/>
        </w:rPr>
        <w:t xml:space="preserve"> is 0.09 (</w:t>
      </w:r>
      <w:r>
        <w:rPr>
          <w:rFonts w:cs="Times New Roman"/>
        </w:rPr>
        <w:t>with range 0.076-0.361).</w:t>
      </w:r>
      <w:r w:rsidRPr="00031130">
        <w:rPr>
          <w:rFonts w:cs="Times New Roman"/>
        </w:rPr>
        <w:t xml:space="preserve"> </w:t>
      </w:r>
      <w:r>
        <w:rPr>
          <w:rFonts w:cs="Times New Roman"/>
        </w:rPr>
        <w:t xml:space="preserve">With varying </w:t>
      </w:r>
      <w:r w:rsidRPr="00A60B45">
        <w:rPr>
          <w:rFonts w:cs="Times New Roman"/>
          <w:i/>
        </w:rPr>
        <w:t>F</w:t>
      </w:r>
      <w:r>
        <w:rPr>
          <w:rFonts w:cs="Times New Roman"/>
        </w:rPr>
        <w:t>, we obtain</w:t>
      </w:r>
      <w:r w:rsidRPr="00031130">
        <w:rPr>
          <w:rFonts w:cs="Times New Roman"/>
        </w:rPr>
        <w:t xml:space="preserve"> </w:t>
      </w:r>
      <w:r w:rsidRPr="003A1FBA">
        <w:rPr>
          <w:rFonts w:cs="Times New Roman"/>
          <w:i/>
        </w:rPr>
        <w:t>c</w:t>
      </w:r>
      <w:r>
        <w:rPr>
          <w:rFonts w:cs="Times New Roman"/>
          <w:vertAlign w:val="subscript"/>
        </w:rPr>
        <w:t>d</w:t>
      </w:r>
      <w:r w:rsidRPr="003A1FBA">
        <w:rPr>
          <w:rFonts w:cs="Times New Roman"/>
        </w:rPr>
        <w:t xml:space="preserve"> </w:t>
      </w:r>
      <w:r w:rsidRPr="00031130">
        <w:rPr>
          <w:rFonts w:cs="Times New Roman"/>
        </w:rPr>
        <w:t>=</w:t>
      </w:r>
      <w:r>
        <w:rPr>
          <w:rFonts w:cs="Times New Roman"/>
        </w:rPr>
        <w:t xml:space="preserve"> </w:t>
      </w:r>
      <w:r w:rsidRPr="00031130">
        <w:rPr>
          <w:rFonts w:cs="Times New Roman"/>
        </w:rPr>
        <w:t>0.287</w:t>
      </w:r>
      <w:r>
        <w:rPr>
          <w:rFonts w:cs="Times New Roman"/>
        </w:rPr>
        <w:t xml:space="preserve"> m/day and</w:t>
      </w:r>
      <w:r w:rsidRPr="00031130">
        <w:rPr>
          <w:rFonts w:cs="Times New Roman"/>
        </w:rPr>
        <w:t xml:space="preserve"> </w:t>
      </w:r>
      <w:r w:rsidRPr="00A60B45">
        <w:rPr>
          <w:rFonts w:cs="Times New Roman"/>
          <w:i/>
        </w:rPr>
        <w:t>w</w:t>
      </w:r>
      <w:r>
        <w:rPr>
          <w:rFonts w:cs="Times New Roman"/>
        </w:rPr>
        <w:t xml:space="preserve"> </w:t>
      </w:r>
      <w:r w:rsidRPr="00031130">
        <w:rPr>
          <w:rFonts w:cs="Times New Roman"/>
        </w:rPr>
        <w:t>=</w:t>
      </w:r>
      <w:r>
        <w:rPr>
          <w:rFonts w:cs="Times New Roman"/>
        </w:rPr>
        <w:t xml:space="preserve"> 384 m. A</w:t>
      </w:r>
      <w:r w:rsidRPr="00031130">
        <w:rPr>
          <w:rFonts w:cs="Times New Roman"/>
        </w:rPr>
        <w:t xml:space="preserve">ssuming a </w:t>
      </w:r>
      <w:r>
        <w:rPr>
          <w:rFonts w:cs="Times New Roman"/>
        </w:rPr>
        <w:t>constant</w:t>
      </w:r>
      <w:r w:rsidRPr="00031130">
        <w:rPr>
          <w:rFonts w:cs="Times New Roman"/>
        </w:rPr>
        <w:t xml:space="preserve"> </w:t>
      </w:r>
      <w:r w:rsidRPr="00A60B45">
        <w:rPr>
          <w:rFonts w:cs="Times New Roman"/>
          <w:i/>
        </w:rPr>
        <w:t>F</w:t>
      </w:r>
      <w:r>
        <w:rPr>
          <w:rFonts w:cs="Times New Roman"/>
        </w:rPr>
        <w:t xml:space="preserve"> </w:t>
      </w:r>
      <w:r w:rsidRPr="00031130">
        <w:rPr>
          <w:rFonts w:cs="Times New Roman"/>
        </w:rPr>
        <w:t>=</w:t>
      </w:r>
      <w:r>
        <w:rPr>
          <w:rFonts w:cs="Times New Roman"/>
        </w:rPr>
        <w:t xml:space="preserve"> </w:t>
      </w:r>
      <w:r w:rsidRPr="00031130">
        <w:rPr>
          <w:rFonts w:cs="Times New Roman"/>
        </w:rPr>
        <w:t>0.167</w:t>
      </w:r>
      <w:r>
        <w:rPr>
          <w:rFonts w:cs="Times New Roman"/>
        </w:rPr>
        <w:t>,</w:t>
      </w:r>
      <w:r w:rsidRPr="00031130">
        <w:rPr>
          <w:rFonts w:cs="Times New Roman"/>
        </w:rPr>
        <w:t xml:space="preserve"> </w:t>
      </w:r>
      <w:r>
        <w:rPr>
          <w:rFonts w:cs="Times New Roman"/>
        </w:rPr>
        <w:t>we obtain essentially identical results</w:t>
      </w:r>
      <w:r w:rsidRPr="00031130">
        <w:rPr>
          <w:rFonts w:cs="Times New Roman"/>
        </w:rPr>
        <w:t xml:space="preserve"> </w:t>
      </w:r>
      <w:r w:rsidRPr="003A1FBA">
        <w:rPr>
          <w:rFonts w:cs="Times New Roman"/>
          <w:i/>
        </w:rPr>
        <w:t>c</w:t>
      </w:r>
      <w:r>
        <w:rPr>
          <w:rFonts w:cs="Times New Roman"/>
          <w:vertAlign w:val="subscript"/>
        </w:rPr>
        <w:t>d</w:t>
      </w:r>
      <w:r w:rsidRPr="003A1FBA">
        <w:rPr>
          <w:rFonts w:cs="Times New Roman"/>
        </w:rPr>
        <w:t xml:space="preserve"> </w:t>
      </w:r>
      <w:r w:rsidRPr="00031130">
        <w:rPr>
          <w:rFonts w:cs="Times New Roman"/>
        </w:rPr>
        <w:t>=</w:t>
      </w:r>
      <w:r>
        <w:rPr>
          <w:rFonts w:cs="Times New Roman"/>
        </w:rPr>
        <w:t xml:space="preserve"> </w:t>
      </w:r>
      <w:r w:rsidRPr="00031130">
        <w:rPr>
          <w:rFonts w:cs="Times New Roman"/>
        </w:rPr>
        <w:t>0.287</w:t>
      </w:r>
      <w:r>
        <w:rPr>
          <w:rFonts w:cs="Times New Roman"/>
        </w:rPr>
        <w:t xml:space="preserve"> m/day and</w:t>
      </w:r>
      <w:r w:rsidRPr="00031130">
        <w:rPr>
          <w:rFonts w:cs="Times New Roman"/>
        </w:rPr>
        <w:t xml:space="preserve"> </w:t>
      </w:r>
      <w:r w:rsidRPr="00A60B45">
        <w:rPr>
          <w:rFonts w:cs="Times New Roman"/>
          <w:i/>
        </w:rPr>
        <w:t>w</w:t>
      </w:r>
      <w:r>
        <w:rPr>
          <w:rFonts w:cs="Times New Roman"/>
        </w:rPr>
        <w:t xml:space="preserve"> </w:t>
      </w:r>
      <w:r w:rsidRPr="00031130">
        <w:rPr>
          <w:rFonts w:cs="Times New Roman"/>
        </w:rPr>
        <w:t>=</w:t>
      </w:r>
      <w:r>
        <w:rPr>
          <w:rFonts w:cs="Times New Roman"/>
        </w:rPr>
        <w:t xml:space="preserve"> </w:t>
      </w:r>
      <w:r w:rsidRPr="00031130">
        <w:rPr>
          <w:rFonts w:cs="Times New Roman"/>
        </w:rPr>
        <w:t>390</w:t>
      </w:r>
      <w:r>
        <w:rPr>
          <w:rFonts w:cs="Times New Roman"/>
        </w:rPr>
        <w:t xml:space="preserve"> </w:t>
      </w:r>
      <w:r w:rsidRPr="00031130">
        <w:rPr>
          <w:rFonts w:cs="Times New Roman"/>
        </w:rPr>
        <w:t xml:space="preserve">m. (These estimates were based on data after day 150, as </w:t>
      </w:r>
      <w:r>
        <w:rPr>
          <w:rFonts w:cs="Times New Roman"/>
        </w:rPr>
        <w:t xml:space="preserve">in our pooled analysis without </w:t>
      </w:r>
      <w:r w:rsidRPr="00693CBB">
        <w:rPr>
          <w:rFonts w:cs="Times New Roman"/>
          <w:i/>
        </w:rPr>
        <w:t>F</w:t>
      </w:r>
      <w:r>
        <w:rPr>
          <w:rFonts w:cs="Times New Roman"/>
        </w:rPr>
        <w:t>,</w:t>
      </w:r>
      <w:r w:rsidR="00705027">
        <w:rPr>
          <w:rFonts w:cs="Times New Roman"/>
        </w:rPr>
        <w:t xml:space="preserve"> </w:t>
      </w:r>
      <w:r w:rsidR="00705027">
        <w:rPr>
          <w:rFonts w:cs="Times New Roman"/>
        </w:rPr>
        <w:t>S2</w:t>
      </w:r>
      <w:r>
        <w:rPr>
          <w:rFonts w:cs="Times New Roman"/>
        </w:rPr>
        <w:t xml:space="preserve"> Table</w:t>
      </w:r>
      <w:r w:rsidRPr="00031130">
        <w:rPr>
          <w:rFonts w:cs="Times New Roman"/>
        </w:rPr>
        <w:t xml:space="preserve">). For simplicity we assume </w:t>
      </w:r>
      <w:r w:rsidRPr="00546477">
        <w:rPr>
          <w:rFonts w:cs="Times New Roman"/>
          <w:i/>
        </w:rPr>
        <w:t>F</w:t>
      </w:r>
      <w:r>
        <w:rPr>
          <w:rFonts w:cs="Times New Roman"/>
        </w:rPr>
        <w:t xml:space="preserve"> </w:t>
      </w:r>
      <w:r w:rsidRPr="00031130">
        <w:rPr>
          <w:rFonts w:cs="Times New Roman"/>
        </w:rPr>
        <w:t>=</w:t>
      </w:r>
      <w:r>
        <w:rPr>
          <w:rFonts w:cs="Times New Roman"/>
        </w:rPr>
        <w:t xml:space="preserve"> </w:t>
      </w:r>
      <w:r w:rsidRPr="00031130">
        <w:rPr>
          <w:rFonts w:cs="Times New Roman"/>
        </w:rPr>
        <w:t xml:space="preserve">0.167 </w:t>
      </w:r>
      <w:r>
        <w:rPr>
          <w:rFonts w:cs="Times New Roman"/>
        </w:rPr>
        <w:t>in our subsequent PP</w:t>
      </w:r>
      <w:r w:rsidRPr="003C74AF">
        <w:rPr>
          <w:rFonts w:cs="Times New Roman"/>
        </w:rPr>
        <w:t xml:space="preserve"> </w:t>
      </w:r>
      <w:r>
        <w:rPr>
          <w:rFonts w:cs="Times New Roman"/>
        </w:rPr>
        <w:t>analyse</w:t>
      </w:r>
      <w:r w:rsidRPr="003C74AF">
        <w:rPr>
          <w:rFonts w:cs="Times New Roman"/>
        </w:rPr>
        <w:t>s</w:t>
      </w:r>
      <w:r w:rsidRPr="00031130">
        <w:rPr>
          <w:rFonts w:cs="Times New Roman"/>
        </w:rPr>
        <w:t>.</w:t>
      </w:r>
      <w:r>
        <w:rPr>
          <w:rFonts w:cs="Times New Roman"/>
        </w:rPr>
        <w:t xml:space="preserve"> </w:t>
      </w:r>
    </w:p>
    <w:p w14:paraId="52AB846F" w14:textId="77777777" w:rsidR="0018088C" w:rsidRDefault="0018088C" w:rsidP="0018088C">
      <w:pPr>
        <w:tabs>
          <w:tab w:val="left" w:pos="450"/>
        </w:tabs>
        <w:spacing w:before="20" w:after="20" w:line="440" w:lineRule="exact"/>
      </w:pPr>
    </w:p>
    <w:p w14:paraId="1904836C" w14:textId="77777777" w:rsidR="0018088C" w:rsidRPr="00632734" w:rsidRDefault="0018088C" w:rsidP="0018088C">
      <w:pPr>
        <w:pStyle w:val="Standard"/>
        <w:tabs>
          <w:tab w:val="left" w:pos="450"/>
        </w:tabs>
        <w:spacing w:before="30" w:line="440" w:lineRule="exact"/>
        <w:rPr>
          <w:rFonts w:asciiTheme="minorHAnsi" w:hAnsiTheme="minorHAnsi" w:cs="Times New Roman"/>
          <w:b/>
          <w:sz w:val="22"/>
          <w:szCs w:val="22"/>
          <w:lang w:val="en-AU"/>
        </w:rPr>
      </w:pPr>
      <w:r w:rsidRPr="00632734">
        <w:rPr>
          <w:rFonts w:asciiTheme="minorHAnsi" w:hAnsiTheme="minorHAnsi" w:cs="Times New Roman"/>
          <w:b/>
          <w:sz w:val="22"/>
          <w:szCs w:val="22"/>
          <w:lang w:val="en-AU"/>
        </w:rPr>
        <w:t>1.2. Likelihood analyses without pooling</w:t>
      </w:r>
    </w:p>
    <w:p w14:paraId="5D328BB1" w14:textId="77777777" w:rsidR="0018088C" w:rsidRPr="00C21146" w:rsidRDefault="0018088C" w:rsidP="0018088C">
      <w:pPr>
        <w:pStyle w:val="Standard"/>
        <w:tabs>
          <w:tab w:val="left" w:pos="450"/>
        </w:tabs>
        <w:spacing w:before="30" w:line="440" w:lineRule="exact"/>
        <w:rPr>
          <w:rFonts w:asciiTheme="minorHAnsi" w:hAnsiTheme="minorHAnsi" w:cs="Times New Roman"/>
          <w:i/>
          <w:sz w:val="22"/>
          <w:szCs w:val="22"/>
          <w:lang w:val="en-AU"/>
        </w:rPr>
      </w:pPr>
      <w:r w:rsidRPr="00C21146">
        <w:rPr>
          <w:rFonts w:asciiTheme="minorHAnsi" w:hAnsiTheme="minorHAnsi" w:cs="Times New Roman"/>
          <w:i/>
          <w:sz w:val="22"/>
          <w:szCs w:val="22"/>
          <w:lang w:val="en-AU"/>
        </w:rPr>
        <w:t>1.2.1. Methods</w:t>
      </w:r>
    </w:p>
    <w:p w14:paraId="7725EDBF" w14:textId="0780EF0C" w:rsidR="0018088C" w:rsidRDefault="0018088C" w:rsidP="0018088C">
      <w:pPr>
        <w:pStyle w:val="Standard"/>
        <w:tabs>
          <w:tab w:val="left" w:pos="450"/>
        </w:tabs>
        <w:spacing w:before="30" w:line="440" w:lineRule="exact"/>
        <w:rPr>
          <w:rFonts w:asciiTheme="minorHAnsi" w:hAnsiTheme="minorHAnsi" w:cs="Times New Roman"/>
          <w:sz w:val="22"/>
          <w:szCs w:val="22"/>
          <w:lang w:val="en-AU"/>
        </w:rPr>
      </w:pPr>
      <w:r>
        <w:rPr>
          <w:rFonts w:asciiTheme="minorHAnsi" w:hAnsiTheme="minorHAnsi" w:cs="Times New Roman"/>
          <w:sz w:val="22"/>
          <w:szCs w:val="22"/>
          <w:lang w:val="en-AU"/>
        </w:rPr>
        <w:t>As shown in Fig 6</w:t>
      </w:r>
      <w:r w:rsidR="00A361F0">
        <w:rPr>
          <w:rFonts w:asciiTheme="minorHAnsi" w:hAnsiTheme="minorHAnsi" w:cs="Times New Roman"/>
          <w:sz w:val="22"/>
          <w:szCs w:val="22"/>
          <w:lang w:val="en-AU"/>
        </w:rPr>
        <w:t xml:space="preserve"> panels A and </w:t>
      </w:r>
      <w:r>
        <w:rPr>
          <w:rFonts w:asciiTheme="minorHAnsi" w:hAnsiTheme="minorHAnsi" w:cs="Times New Roman"/>
          <w:sz w:val="22"/>
          <w:szCs w:val="22"/>
          <w:lang w:val="en-AU"/>
        </w:rPr>
        <w:t xml:space="preserve">C, the EHW and PP data fit our expectations of linear asymptotic spread reasonably well. To more carefully analyse these data, we reanalyzed them without pooling over time or space to fit the model </w:t>
      </w:r>
      <w:r w:rsidRPr="00875F41">
        <w:rPr>
          <w:rFonts w:asciiTheme="minorHAnsi" w:hAnsiTheme="minorHAnsi" w:cs="Times New Roman"/>
          <w:i/>
          <w:sz w:val="22"/>
          <w:szCs w:val="22"/>
          <w:lang w:val="en-AU"/>
        </w:rPr>
        <w:t>r</w:t>
      </w:r>
      <w:r w:rsidRPr="00875F41">
        <w:rPr>
          <w:rFonts w:asciiTheme="minorHAnsi" w:hAnsiTheme="minorHAnsi" w:cs="Times New Roman"/>
          <w:sz w:val="22"/>
          <w:szCs w:val="22"/>
          <w:vertAlign w:val="subscript"/>
          <w:lang w:val="en-AU"/>
        </w:rPr>
        <w:t>0</w:t>
      </w:r>
      <w:r>
        <w:rPr>
          <w:rFonts w:asciiTheme="minorHAnsi" w:hAnsiTheme="minorHAnsi" w:cs="Times New Roman"/>
          <w:sz w:val="22"/>
          <w:szCs w:val="22"/>
          <w:lang w:val="en-AU"/>
        </w:rPr>
        <w:t xml:space="preserve"> = </w:t>
      </w:r>
      <w:r w:rsidRPr="003C6803">
        <w:rPr>
          <w:rFonts w:asciiTheme="minorHAnsi" w:hAnsiTheme="minorHAnsi" w:cs="Times New Roman"/>
          <w:i/>
          <w:sz w:val="22"/>
          <w:szCs w:val="22"/>
          <w:lang w:val="en-AU"/>
        </w:rPr>
        <w:t>R</w:t>
      </w:r>
      <w:r>
        <w:rPr>
          <w:rFonts w:asciiTheme="minorHAnsi" w:hAnsiTheme="minorHAnsi" w:cs="Times New Roman"/>
          <w:sz w:val="22"/>
          <w:szCs w:val="22"/>
          <w:lang w:val="en-AU"/>
        </w:rPr>
        <w:t xml:space="preserve"> + </w:t>
      </w:r>
      <w:r w:rsidRPr="003C6803">
        <w:rPr>
          <w:rFonts w:asciiTheme="minorHAnsi" w:hAnsiTheme="minorHAnsi" w:cs="Times New Roman"/>
          <w:i/>
          <w:sz w:val="22"/>
          <w:szCs w:val="22"/>
          <w:lang w:val="en-AU"/>
        </w:rPr>
        <w:t>c</w:t>
      </w:r>
      <w:r>
        <w:rPr>
          <w:rFonts w:asciiTheme="minorHAnsi" w:hAnsiTheme="minorHAnsi" w:cs="Times New Roman"/>
          <w:sz w:val="22"/>
          <w:szCs w:val="22"/>
          <w:vertAlign w:val="subscript"/>
          <w:lang w:val="en-AU"/>
        </w:rPr>
        <w:t>d</w:t>
      </w:r>
      <w:r w:rsidRPr="003C6803">
        <w:rPr>
          <w:rFonts w:asciiTheme="minorHAnsi" w:hAnsiTheme="minorHAnsi" w:cs="Times New Roman"/>
          <w:i/>
          <w:sz w:val="22"/>
          <w:szCs w:val="22"/>
          <w:lang w:val="en-AU"/>
        </w:rPr>
        <w:t>t</w:t>
      </w:r>
      <w:r>
        <w:rPr>
          <w:rFonts w:asciiTheme="minorHAnsi" w:hAnsiTheme="minorHAnsi" w:cs="Times New Roman"/>
          <w:sz w:val="22"/>
          <w:szCs w:val="22"/>
          <w:lang w:val="en-AU"/>
        </w:rPr>
        <w:t xml:space="preserve">, where </w:t>
      </w:r>
      <w:r w:rsidRPr="003C6803">
        <w:rPr>
          <w:rFonts w:asciiTheme="minorHAnsi" w:hAnsiTheme="minorHAnsi" w:cs="Times New Roman"/>
          <w:i/>
          <w:sz w:val="22"/>
          <w:szCs w:val="22"/>
          <w:lang w:val="en-AU"/>
        </w:rPr>
        <w:t>R</w:t>
      </w:r>
      <w:r>
        <w:rPr>
          <w:rFonts w:asciiTheme="minorHAnsi" w:hAnsiTheme="minorHAnsi" w:cs="Times New Roman"/>
          <w:sz w:val="22"/>
          <w:szCs w:val="22"/>
          <w:lang w:val="en-AU"/>
        </w:rPr>
        <w:t xml:space="preserve"> is a constant describ</w:t>
      </w:r>
      <w:r w:rsidR="00A361F0">
        <w:rPr>
          <w:rFonts w:asciiTheme="minorHAnsi" w:hAnsiTheme="minorHAnsi" w:cs="Times New Roman"/>
          <w:sz w:val="22"/>
          <w:szCs w:val="22"/>
          <w:lang w:val="en-AU"/>
        </w:rPr>
        <w:t>ing the distance from the center</w:t>
      </w:r>
      <w:r>
        <w:rPr>
          <w:rFonts w:asciiTheme="minorHAnsi" w:hAnsiTheme="minorHAnsi" w:cs="Times New Roman"/>
          <w:sz w:val="22"/>
          <w:szCs w:val="22"/>
          <w:lang w:val="en-AU"/>
        </w:rPr>
        <w:t xml:space="preserve"> of each release area at which approximately linear spread was observed and </w:t>
      </w:r>
      <w:r w:rsidRPr="003C6803">
        <w:rPr>
          <w:rFonts w:asciiTheme="minorHAnsi" w:hAnsiTheme="minorHAnsi" w:cs="Times New Roman"/>
          <w:i/>
          <w:sz w:val="22"/>
          <w:szCs w:val="22"/>
          <w:lang w:val="en-AU"/>
        </w:rPr>
        <w:t>c</w:t>
      </w:r>
      <w:r>
        <w:rPr>
          <w:rFonts w:asciiTheme="minorHAnsi" w:hAnsiTheme="minorHAnsi" w:cs="Times New Roman"/>
          <w:sz w:val="22"/>
          <w:szCs w:val="22"/>
          <w:vertAlign w:val="subscript"/>
          <w:lang w:val="en-AU"/>
        </w:rPr>
        <w:t>d</w:t>
      </w:r>
      <w:r>
        <w:rPr>
          <w:rFonts w:asciiTheme="minorHAnsi" w:hAnsiTheme="minorHAnsi" w:cs="Times New Roman"/>
          <w:sz w:val="22"/>
          <w:szCs w:val="22"/>
          <w:lang w:val="en-AU"/>
        </w:rPr>
        <w:t xml:space="preserve"> is the wave speed measured as m/day. </w:t>
      </w:r>
    </w:p>
    <w:p w14:paraId="051EC089" w14:textId="77777777" w:rsidR="0018088C" w:rsidRDefault="0018088C" w:rsidP="0018088C">
      <w:pPr>
        <w:pStyle w:val="Standard"/>
        <w:tabs>
          <w:tab w:val="left" w:pos="450"/>
        </w:tabs>
        <w:spacing w:before="30" w:line="440" w:lineRule="exact"/>
        <w:rPr>
          <w:rFonts w:asciiTheme="minorHAnsi" w:hAnsiTheme="minorHAnsi" w:cs="Times New Roman"/>
          <w:i/>
          <w:sz w:val="22"/>
          <w:szCs w:val="22"/>
          <w:lang w:val="en-AU"/>
        </w:rPr>
      </w:pPr>
    </w:p>
    <w:p w14:paraId="07CCFCE6" w14:textId="77777777" w:rsidR="0018088C" w:rsidRPr="00632734" w:rsidRDefault="0018088C" w:rsidP="0018088C">
      <w:pPr>
        <w:pStyle w:val="Standard"/>
        <w:tabs>
          <w:tab w:val="left" w:pos="450"/>
        </w:tabs>
        <w:spacing w:before="30" w:line="440" w:lineRule="exact"/>
        <w:rPr>
          <w:rFonts w:asciiTheme="minorHAnsi" w:hAnsiTheme="minorHAnsi" w:cs="Times New Roman"/>
          <w:i/>
          <w:sz w:val="22"/>
          <w:szCs w:val="22"/>
          <w:lang w:val="en-AU"/>
        </w:rPr>
      </w:pPr>
      <w:r w:rsidRPr="00632734">
        <w:rPr>
          <w:rFonts w:asciiTheme="minorHAnsi" w:hAnsiTheme="minorHAnsi" w:cs="Times New Roman"/>
          <w:i/>
          <w:sz w:val="22"/>
          <w:szCs w:val="22"/>
          <w:lang w:val="en-AU"/>
        </w:rPr>
        <w:t xml:space="preserve">1.2.1. Results: </w:t>
      </w:r>
      <w:r w:rsidRPr="00632734">
        <w:rPr>
          <w:rFonts w:asciiTheme="minorHAnsi" w:hAnsiTheme="minorHAnsi" w:cs="Times New Roman"/>
          <w:i/>
          <w:sz w:val="22"/>
          <w:szCs w:val="22"/>
        </w:rPr>
        <w:t>Likelihood fits without pooling</w:t>
      </w:r>
      <w:r>
        <w:rPr>
          <w:rFonts w:asciiTheme="minorHAnsi" w:hAnsiTheme="minorHAnsi" w:cs="Times New Roman"/>
          <w:i/>
          <w:sz w:val="22"/>
          <w:szCs w:val="22"/>
        </w:rPr>
        <w:t xml:space="preserve"> data over space or time</w:t>
      </w:r>
    </w:p>
    <w:p w14:paraId="5E0EAEB6" w14:textId="77777777" w:rsidR="0018088C" w:rsidRDefault="0018088C" w:rsidP="0018088C">
      <w:pPr>
        <w:tabs>
          <w:tab w:val="left" w:pos="450"/>
        </w:tabs>
        <w:spacing w:before="20" w:after="20" w:line="440" w:lineRule="exact"/>
        <w:rPr>
          <w:rFonts w:cs="Times New Roman"/>
        </w:rPr>
      </w:pPr>
      <w:r>
        <w:rPr>
          <w:rFonts w:cs="Times New Roman"/>
        </w:rPr>
        <w:t xml:space="preserve">For EHW, after day </w:t>
      </w:r>
      <w:r w:rsidRPr="00AE01C8">
        <w:rPr>
          <w:rFonts w:cs="Times New Roman"/>
        </w:rPr>
        <w:t xml:space="preserve">120, </w:t>
      </w:r>
      <w:r w:rsidRPr="00875F41">
        <w:rPr>
          <w:rFonts w:cs="Times New Roman"/>
          <w:i/>
        </w:rPr>
        <w:t>r</w:t>
      </w:r>
      <w:r w:rsidRPr="00875F41">
        <w:rPr>
          <w:rFonts w:cs="Times New Roman"/>
          <w:vertAlign w:val="subscript"/>
        </w:rPr>
        <w:t>0</w:t>
      </w:r>
      <w:r>
        <w:rPr>
          <w:rFonts w:cs="Times New Roman"/>
        </w:rPr>
        <w:t xml:space="preserve"> </w:t>
      </w:r>
      <w:r w:rsidRPr="00AE01C8">
        <w:rPr>
          <w:rFonts w:cs="Times New Roman"/>
        </w:rPr>
        <w:t xml:space="preserve">increased approximately linearly with time. </w:t>
      </w:r>
      <w:r>
        <w:rPr>
          <w:rFonts w:cs="Times New Roman"/>
        </w:rPr>
        <w:t>D</w:t>
      </w:r>
      <w:r w:rsidRPr="00AE01C8">
        <w:rPr>
          <w:rFonts w:cs="Times New Roman"/>
        </w:rPr>
        <w:t>iscardi</w:t>
      </w:r>
      <w:r>
        <w:rPr>
          <w:rFonts w:cs="Times New Roman"/>
        </w:rPr>
        <w:t>ng samples before day 120 and using</w:t>
      </w:r>
      <w:r w:rsidRPr="00AE01C8">
        <w:rPr>
          <w:rFonts w:cs="Times New Roman"/>
        </w:rPr>
        <w:t xml:space="preserve"> </w:t>
      </w:r>
      <w:r w:rsidRPr="00CA7985">
        <w:rPr>
          <w:rFonts w:cs="Times New Roman"/>
          <w:i/>
        </w:rPr>
        <w:t>F</w:t>
      </w:r>
      <w:r>
        <w:rPr>
          <w:rFonts w:cs="Times New Roman"/>
        </w:rPr>
        <w:t xml:space="preserve"> </w:t>
      </w:r>
      <w:r w:rsidRPr="00AE01C8">
        <w:rPr>
          <w:rFonts w:cs="Times New Roman"/>
        </w:rPr>
        <w:t>=</w:t>
      </w:r>
      <w:r>
        <w:rPr>
          <w:rFonts w:cs="Times New Roman"/>
        </w:rPr>
        <w:t xml:space="preserve"> </w:t>
      </w:r>
      <w:r w:rsidRPr="00AE01C8">
        <w:rPr>
          <w:rFonts w:cs="Times New Roman"/>
        </w:rPr>
        <w:t xml:space="preserve">0.226, </w:t>
      </w:r>
      <w:r>
        <w:rPr>
          <w:rFonts w:cs="Times New Roman"/>
        </w:rPr>
        <w:t>obtained in Section 1.1, t</w:t>
      </w:r>
      <w:r w:rsidRPr="00AE01C8">
        <w:rPr>
          <w:rFonts w:cs="Times New Roman"/>
        </w:rPr>
        <w:t xml:space="preserve">he </w:t>
      </w:r>
      <w:r>
        <w:rPr>
          <w:rFonts w:cs="Times New Roman"/>
        </w:rPr>
        <w:t xml:space="preserve">MLEs are: </w:t>
      </w:r>
      <w:r w:rsidRPr="003C6803">
        <w:rPr>
          <w:rFonts w:cs="Times New Roman"/>
          <w:i/>
        </w:rPr>
        <w:t>R</w:t>
      </w:r>
      <w:r>
        <w:rPr>
          <w:rFonts w:cs="Times New Roman"/>
        </w:rPr>
        <w:t xml:space="preserve"> = </w:t>
      </w:r>
      <w:r w:rsidRPr="00AE01C8">
        <w:rPr>
          <w:rFonts w:cs="Times New Roman"/>
        </w:rPr>
        <w:t>282</w:t>
      </w:r>
      <w:r>
        <w:rPr>
          <w:rFonts w:cs="Times New Roman"/>
        </w:rPr>
        <w:t xml:space="preserve"> </w:t>
      </w:r>
      <w:r w:rsidRPr="00AE01C8">
        <w:rPr>
          <w:rFonts w:cs="Times New Roman"/>
        </w:rPr>
        <w:t xml:space="preserve">m, </w:t>
      </w:r>
      <w:r w:rsidRPr="003C6803">
        <w:rPr>
          <w:rFonts w:cs="Times New Roman"/>
          <w:i/>
        </w:rPr>
        <w:t>c</w:t>
      </w:r>
      <w:r>
        <w:rPr>
          <w:rFonts w:cs="Times New Roman"/>
          <w:vertAlign w:val="subscript"/>
        </w:rPr>
        <w:t>d</w:t>
      </w:r>
      <w:r>
        <w:rPr>
          <w:rFonts w:cs="Times New Roman"/>
          <w:i/>
        </w:rPr>
        <w:t xml:space="preserve"> </w:t>
      </w:r>
      <w:r w:rsidRPr="00AE01C8">
        <w:rPr>
          <w:rFonts w:cs="Times New Roman"/>
        </w:rPr>
        <w:t>=</w:t>
      </w:r>
      <w:r>
        <w:rPr>
          <w:rFonts w:cs="Times New Roman"/>
        </w:rPr>
        <w:t xml:space="preserve"> </w:t>
      </w:r>
      <w:r w:rsidRPr="00AE01C8">
        <w:rPr>
          <w:rFonts w:cs="Times New Roman"/>
        </w:rPr>
        <w:t>0.50</w:t>
      </w:r>
      <w:r>
        <w:rPr>
          <w:rFonts w:cs="Times New Roman"/>
        </w:rPr>
        <w:t xml:space="preserve">5 m/day, and </w:t>
      </w:r>
      <w:r w:rsidRPr="00F3526A">
        <w:rPr>
          <w:rFonts w:cs="Times New Roman"/>
          <w:i/>
        </w:rPr>
        <w:t>w</w:t>
      </w:r>
      <w:r>
        <w:rPr>
          <w:rFonts w:cs="Times New Roman"/>
        </w:rPr>
        <w:t xml:space="preserve"> = 469 m.</w:t>
      </w:r>
      <w:r w:rsidRPr="00AE01C8">
        <w:rPr>
          <w:rFonts w:cs="Times New Roman"/>
        </w:rPr>
        <w:t xml:space="preserve"> </w:t>
      </w:r>
      <w:r>
        <w:rPr>
          <w:rFonts w:cs="Times New Roman"/>
        </w:rPr>
        <w:t xml:space="preserve">(Note that the edge of the EHW release area corresponds to roughly </w:t>
      </w:r>
      <w:r w:rsidRPr="00875F41">
        <w:rPr>
          <w:rFonts w:cs="Times New Roman"/>
          <w:i/>
        </w:rPr>
        <w:t>r</w:t>
      </w:r>
      <w:r w:rsidRPr="00875F41">
        <w:rPr>
          <w:rFonts w:cs="Times New Roman"/>
          <w:vertAlign w:val="subscript"/>
        </w:rPr>
        <w:t>0</w:t>
      </w:r>
      <w:r>
        <w:rPr>
          <w:rFonts w:cs="Times New Roman"/>
        </w:rPr>
        <w:t xml:space="preserve"> = 340 m.)</w:t>
      </w:r>
      <w:r w:rsidRPr="00AE01C8">
        <w:rPr>
          <w:rFonts w:cs="Times New Roman"/>
        </w:rPr>
        <w:t xml:space="preserve"> To calculate support intervals for each </w:t>
      </w:r>
      <w:r>
        <w:rPr>
          <w:rFonts w:cs="Times New Roman"/>
        </w:rPr>
        <w:t>parameter</w:t>
      </w:r>
      <w:r w:rsidRPr="00AE01C8">
        <w:rPr>
          <w:rFonts w:cs="Times New Roman"/>
        </w:rPr>
        <w:t xml:space="preserve">, we hold that parameter fixed, and maximise likelihood </w:t>
      </w:r>
      <w:r>
        <w:rPr>
          <w:rFonts w:cs="Times New Roman"/>
        </w:rPr>
        <w:t xml:space="preserve">with respect to the </w:t>
      </w:r>
      <w:r>
        <w:rPr>
          <w:rFonts w:cs="Times New Roman"/>
        </w:rPr>
        <w:lastRenderedPageBreak/>
        <w:t xml:space="preserve">other two. </w:t>
      </w:r>
      <w:r w:rsidRPr="00AE01C8">
        <w:rPr>
          <w:rFonts w:cs="Times New Roman"/>
        </w:rPr>
        <w:t>The support intervals are the parameter values that are two units of log likelihood below the maximum; asymptotically, this corresponds to 95% confidence intervals.</w:t>
      </w:r>
      <w:r>
        <w:rPr>
          <w:rFonts w:cs="Times New Roman"/>
        </w:rPr>
        <w:t xml:space="preserve"> For PP, </w:t>
      </w:r>
      <w:r w:rsidRPr="00875F41">
        <w:rPr>
          <w:rFonts w:cs="Times New Roman"/>
          <w:i/>
        </w:rPr>
        <w:t>r</w:t>
      </w:r>
      <w:r w:rsidRPr="00875F41">
        <w:rPr>
          <w:rFonts w:cs="Times New Roman"/>
          <w:vertAlign w:val="subscript"/>
        </w:rPr>
        <w:t>0</w:t>
      </w:r>
      <w:r>
        <w:rPr>
          <w:rFonts w:cs="Times New Roman"/>
        </w:rPr>
        <w:t xml:space="preserve"> </w:t>
      </w:r>
      <w:r w:rsidRPr="00AE01C8">
        <w:rPr>
          <w:rFonts w:cs="Times New Roman"/>
        </w:rPr>
        <w:t>increased approximately linearly with time</w:t>
      </w:r>
      <w:r w:rsidRPr="004D618B">
        <w:rPr>
          <w:rFonts w:cs="Times New Roman"/>
        </w:rPr>
        <w:t xml:space="preserve"> </w:t>
      </w:r>
      <w:r>
        <w:rPr>
          <w:rFonts w:cs="Times New Roman"/>
        </w:rPr>
        <w:t>after day 150. D</w:t>
      </w:r>
      <w:r w:rsidRPr="004D618B">
        <w:rPr>
          <w:rFonts w:cs="Times New Roman"/>
        </w:rPr>
        <w:t>iscardi</w:t>
      </w:r>
      <w:r>
        <w:rPr>
          <w:rFonts w:cs="Times New Roman"/>
        </w:rPr>
        <w:t>ng samples taken before day 150 and using the excess-variance parameter</w:t>
      </w:r>
      <w:r w:rsidRPr="004D618B">
        <w:rPr>
          <w:rFonts w:cs="Times New Roman"/>
        </w:rPr>
        <w:t xml:space="preserve">, </w:t>
      </w:r>
      <w:r w:rsidRPr="004A28DC">
        <w:rPr>
          <w:rFonts w:cs="Times New Roman"/>
          <w:i/>
        </w:rPr>
        <w:t>F</w:t>
      </w:r>
      <w:r>
        <w:rPr>
          <w:rFonts w:cs="Times New Roman"/>
        </w:rPr>
        <w:t xml:space="preserve"> </w:t>
      </w:r>
      <w:r w:rsidRPr="004D618B">
        <w:rPr>
          <w:rFonts w:cs="Times New Roman"/>
        </w:rPr>
        <w:t>=</w:t>
      </w:r>
      <w:r>
        <w:rPr>
          <w:rFonts w:cs="Times New Roman"/>
        </w:rPr>
        <w:t xml:space="preserve"> </w:t>
      </w:r>
      <w:r w:rsidRPr="004D618B">
        <w:rPr>
          <w:rFonts w:cs="Times New Roman"/>
        </w:rPr>
        <w:t xml:space="preserve">0.167, </w:t>
      </w:r>
      <w:r>
        <w:rPr>
          <w:rFonts w:cs="Times New Roman"/>
        </w:rPr>
        <w:t>obtained above, t</w:t>
      </w:r>
      <w:r w:rsidRPr="00AE01C8">
        <w:rPr>
          <w:rFonts w:cs="Times New Roman"/>
        </w:rPr>
        <w:t xml:space="preserve">he </w:t>
      </w:r>
      <w:r>
        <w:rPr>
          <w:rFonts w:cs="Times New Roman"/>
        </w:rPr>
        <w:t xml:space="preserve">MLEs are: </w:t>
      </w:r>
      <w:r w:rsidRPr="003C6803">
        <w:rPr>
          <w:rFonts w:cs="Times New Roman"/>
          <w:i/>
        </w:rPr>
        <w:t>R</w:t>
      </w:r>
      <w:r>
        <w:rPr>
          <w:rFonts w:cs="Times New Roman"/>
        </w:rPr>
        <w:t xml:space="preserve"> = </w:t>
      </w:r>
      <w:r w:rsidRPr="004D618B">
        <w:rPr>
          <w:rFonts w:cs="Times New Roman"/>
        </w:rPr>
        <w:t>252</w:t>
      </w:r>
      <w:r>
        <w:rPr>
          <w:rFonts w:cs="Times New Roman"/>
        </w:rPr>
        <w:t xml:space="preserve"> </w:t>
      </w:r>
      <w:r w:rsidRPr="004D618B">
        <w:rPr>
          <w:rFonts w:cs="Times New Roman"/>
        </w:rPr>
        <w:t xml:space="preserve">m, </w:t>
      </w:r>
      <w:r w:rsidRPr="003A1FBA">
        <w:rPr>
          <w:rFonts w:cs="Times New Roman"/>
          <w:i/>
        </w:rPr>
        <w:t>c</w:t>
      </w:r>
      <w:r>
        <w:rPr>
          <w:rFonts w:cs="Times New Roman"/>
          <w:vertAlign w:val="subscript"/>
        </w:rPr>
        <w:t>d</w:t>
      </w:r>
      <w:r w:rsidRPr="003A1FBA">
        <w:rPr>
          <w:rFonts w:cs="Times New Roman"/>
        </w:rPr>
        <w:t xml:space="preserve"> </w:t>
      </w:r>
      <w:r w:rsidRPr="004D618B">
        <w:rPr>
          <w:rFonts w:cs="Times New Roman"/>
        </w:rPr>
        <w:t>=</w:t>
      </w:r>
      <w:r>
        <w:rPr>
          <w:rFonts w:cs="Times New Roman"/>
        </w:rPr>
        <w:t xml:space="preserve"> </w:t>
      </w:r>
      <w:r w:rsidRPr="004D618B">
        <w:rPr>
          <w:rFonts w:cs="Times New Roman"/>
        </w:rPr>
        <w:t>0.301</w:t>
      </w:r>
      <w:r>
        <w:rPr>
          <w:rFonts w:cs="Times New Roman"/>
        </w:rPr>
        <w:t xml:space="preserve"> m/</w:t>
      </w:r>
      <w:r w:rsidRPr="004D618B">
        <w:rPr>
          <w:rFonts w:cs="Times New Roman"/>
        </w:rPr>
        <w:t xml:space="preserve">day, and </w:t>
      </w:r>
      <w:r w:rsidRPr="00DB3746">
        <w:rPr>
          <w:rFonts w:cs="Times New Roman"/>
          <w:i/>
        </w:rPr>
        <w:t>w</w:t>
      </w:r>
      <w:r>
        <w:rPr>
          <w:rFonts w:cs="Times New Roman"/>
        </w:rPr>
        <w:t xml:space="preserve"> </w:t>
      </w:r>
      <w:r w:rsidRPr="004D618B">
        <w:rPr>
          <w:rFonts w:cs="Times New Roman"/>
        </w:rPr>
        <w:t>=</w:t>
      </w:r>
      <w:r>
        <w:rPr>
          <w:rFonts w:cs="Times New Roman"/>
        </w:rPr>
        <w:t xml:space="preserve"> </w:t>
      </w:r>
      <w:r w:rsidRPr="004D618B">
        <w:rPr>
          <w:rFonts w:cs="Times New Roman"/>
        </w:rPr>
        <w:t>384</w:t>
      </w:r>
      <w:r>
        <w:rPr>
          <w:rFonts w:cs="Times New Roman"/>
        </w:rPr>
        <w:t xml:space="preserve"> m.</w:t>
      </w:r>
      <w:r w:rsidRPr="004D618B">
        <w:rPr>
          <w:rFonts w:cs="Times New Roman"/>
        </w:rPr>
        <w:t xml:space="preserve"> </w:t>
      </w:r>
      <w:r>
        <w:rPr>
          <w:rFonts w:cs="Times New Roman"/>
        </w:rPr>
        <w:t xml:space="preserve">(Note that the edge of the PP release area corresponds to roughly </w:t>
      </w:r>
      <w:r w:rsidRPr="00875F41">
        <w:rPr>
          <w:rFonts w:cs="Times New Roman"/>
          <w:i/>
        </w:rPr>
        <w:t>r</w:t>
      </w:r>
      <w:r w:rsidRPr="00875F41">
        <w:rPr>
          <w:rFonts w:cs="Times New Roman"/>
          <w:vertAlign w:val="subscript"/>
        </w:rPr>
        <w:t>0</w:t>
      </w:r>
      <w:r>
        <w:rPr>
          <w:rFonts w:cs="Times New Roman"/>
        </w:rPr>
        <w:t xml:space="preserve"> = 220 m.)</w:t>
      </w:r>
      <w:r w:rsidRPr="00AE01C8">
        <w:rPr>
          <w:rFonts w:cs="Times New Roman"/>
        </w:rPr>
        <w:t xml:space="preserve"> </w:t>
      </w:r>
      <w:r>
        <w:rPr>
          <w:rFonts w:cs="Times New Roman"/>
        </w:rPr>
        <w:t xml:space="preserve">Table 1 in the text summarizes these likelihood estimates and support intervals as well as our previous likelihood estimates, based on pooling, for </w:t>
      </w:r>
      <w:r w:rsidRPr="003A1FBA">
        <w:rPr>
          <w:rFonts w:cs="Times New Roman"/>
          <w:i/>
        </w:rPr>
        <w:t>c</w:t>
      </w:r>
      <w:r>
        <w:rPr>
          <w:rFonts w:cs="Times New Roman"/>
          <w:vertAlign w:val="subscript"/>
        </w:rPr>
        <w:t>d</w:t>
      </w:r>
      <w:r w:rsidRPr="003A1FBA">
        <w:rPr>
          <w:rFonts w:cs="Times New Roman"/>
        </w:rPr>
        <w:t xml:space="preserve"> </w:t>
      </w:r>
      <w:r>
        <w:rPr>
          <w:rFonts w:cs="Times New Roman"/>
        </w:rPr>
        <w:t xml:space="preserve">and </w:t>
      </w:r>
      <w:r w:rsidRPr="000D1DC6">
        <w:rPr>
          <w:rFonts w:cs="Times New Roman"/>
          <w:i/>
        </w:rPr>
        <w:t>w</w:t>
      </w:r>
      <w:r>
        <w:rPr>
          <w:rFonts w:cs="Times New Roman"/>
        </w:rPr>
        <w:t>.</w:t>
      </w:r>
    </w:p>
    <w:p w14:paraId="74516DEE" w14:textId="77777777" w:rsidR="0018088C" w:rsidRDefault="0018088C" w:rsidP="0018088C">
      <w:pPr>
        <w:pStyle w:val="Standard"/>
        <w:tabs>
          <w:tab w:val="left" w:pos="450"/>
        </w:tabs>
        <w:spacing w:before="30" w:line="440" w:lineRule="exact"/>
        <w:rPr>
          <w:rFonts w:asciiTheme="minorHAnsi" w:hAnsiTheme="minorHAnsi" w:cs="Times New Roman"/>
          <w:sz w:val="22"/>
          <w:szCs w:val="22"/>
          <w:lang w:val="en-AU"/>
        </w:rPr>
      </w:pPr>
    </w:p>
    <w:p w14:paraId="72F3404A" w14:textId="77777777" w:rsidR="0018088C" w:rsidRPr="00632734" w:rsidRDefault="0018088C" w:rsidP="0018088C">
      <w:pPr>
        <w:pStyle w:val="Standard"/>
        <w:tabs>
          <w:tab w:val="left" w:pos="450"/>
        </w:tabs>
        <w:spacing w:before="30" w:line="440" w:lineRule="exact"/>
        <w:rPr>
          <w:rFonts w:asciiTheme="minorHAnsi" w:hAnsiTheme="minorHAnsi" w:cs="Times New Roman"/>
          <w:b/>
          <w:sz w:val="22"/>
          <w:szCs w:val="22"/>
          <w:lang w:val="en-AU"/>
        </w:rPr>
      </w:pPr>
      <w:r w:rsidRPr="00632734">
        <w:rPr>
          <w:rFonts w:asciiTheme="minorHAnsi" w:hAnsiTheme="minorHAnsi" w:cs="Times New Roman"/>
          <w:b/>
          <w:sz w:val="22"/>
          <w:szCs w:val="22"/>
          <w:lang w:val="en-AU"/>
        </w:rPr>
        <w:t>1.3. Likelihood analysis of heterogeneous spatial spread</w:t>
      </w:r>
    </w:p>
    <w:p w14:paraId="78F64865" w14:textId="77777777" w:rsidR="0018088C" w:rsidRPr="00632734" w:rsidRDefault="0018088C" w:rsidP="0018088C">
      <w:pPr>
        <w:pStyle w:val="Standard"/>
        <w:tabs>
          <w:tab w:val="left" w:pos="450"/>
        </w:tabs>
        <w:spacing w:before="30" w:line="440" w:lineRule="exact"/>
        <w:rPr>
          <w:rFonts w:asciiTheme="minorHAnsi" w:hAnsiTheme="minorHAnsi" w:cs="Times New Roman"/>
          <w:i/>
          <w:sz w:val="22"/>
          <w:szCs w:val="22"/>
          <w:lang w:val="en-AU"/>
        </w:rPr>
      </w:pPr>
      <w:r w:rsidRPr="00632734">
        <w:rPr>
          <w:rFonts w:asciiTheme="minorHAnsi" w:hAnsiTheme="minorHAnsi" w:cs="Times New Roman"/>
          <w:i/>
          <w:sz w:val="22"/>
          <w:szCs w:val="22"/>
          <w:lang w:val="en-AU"/>
        </w:rPr>
        <w:t>1.3.1. Methods</w:t>
      </w:r>
    </w:p>
    <w:p w14:paraId="1B445217" w14:textId="77777777" w:rsidR="0018088C" w:rsidRDefault="0018088C" w:rsidP="0018088C">
      <w:pPr>
        <w:pStyle w:val="Standard"/>
        <w:tabs>
          <w:tab w:val="left" w:pos="450"/>
        </w:tabs>
        <w:spacing w:before="30" w:line="440" w:lineRule="exact"/>
        <w:rPr>
          <w:rFonts w:asciiTheme="minorHAnsi" w:hAnsiTheme="minorHAnsi" w:cs="Times New Roman"/>
          <w:sz w:val="22"/>
          <w:szCs w:val="22"/>
          <w:lang w:val="en-AU"/>
        </w:rPr>
      </w:pPr>
      <w:r>
        <w:rPr>
          <w:rFonts w:asciiTheme="minorHAnsi" w:hAnsiTheme="minorHAnsi" w:cs="Times New Roman"/>
          <w:sz w:val="22"/>
          <w:szCs w:val="22"/>
          <w:lang w:val="en-AU"/>
        </w:rPr>
        <w:t xml:space="preserve">At EHW, we analysed the rate of spread in different directions to statistically evaluate the heterogeneous spread apparent from the graphical analyses in Fig 3. </w:t>
      </w:r>
      <w:r w:rsidRPr="00E677BF">
        <w:rPr>
          <w:rFonts w:asciiTheme="minorHAnsi" w:hAnsiTheme="minorHAnsi" w:cs="Times New Roman"/>
          <w:sz w:val="22"/>
          <w:szCs w:val="22"/>
          <w:lang w:val="en-AU"/>
        </w:rPr>
        <w:t xml:space="preserve">To examine </w:t>
      </w:r>
      <w:r>
        <w:rPr>
          <w:rFonts w:asciiTheme="minorHAnsi" w:hAnsiTheme="minorHAnsi" w:cs="Times New Roman"/>
          <w:sz w:val="22"/>
          <w:szCs w:val="22"/>
          <w:lang w:val="en-AU"/>
        </w:rPr>
        <w:t xml:space="preserve">directional </w:t>
      </w:r>
      <w:r w:rsidRPr="00E677BF">
        <w:rPr>
          <w:rFonts w:asciiTheme="minorHAnsi" w:hAnsiTheme="minorHAnsi" w:cs="Times New Roman"/>
          <w:sz w:val="22"/>
          <w:szCs w:val="22"/>
          <w:lang w:val="en-AU"/>
        </w:rPr>
        <w:t>heterogeneity, we divide</w:t>
      </w:r>
      <w:r>
        <w:rPr>
          <w:rFonts w:asciiTheme="minorHAnsi" w:hAnsiTheme="minorHAnsi" w:cs="Times New Roman"/>
          <w:sz w:val="22"/>
          <w:szCs w:val="22"/>
          <w:lang w:val="en-AU"/>
        </w:rPr>
        <w:t>d</w:t>
      </w:r>
      <w:r w:rsidRPr="00E677BF">
        <w:rPr>
          <w:rFonts w:asciiTheme="minorHAnsi" w:hAnsiTheme="minorHAnsi" w:cs="Times New Roman"/>
          <w:sz w:val="22"/>
          <w:szCs w:val="22"/>
          <w:lang w:val="en-AU"/>
        </w:rPr>
        <w:t xml:space="preserve"> the samples into four sectors defined by the angle,</w:t>
      </w:r>
      <w:r>
        <w:rPr>
          <w:rFonts w:asciiTheme="minorHAnsi" w:hAnsiTheme="minorHAnsi" w:cs="Times New Roman"/>
          <w:sz w:val="22"/>
          <w:szCs w:val="22"/>
          <w:lang w:val="en-AU"/>
        </w:rPr>
        <w:t xml:space="preserve"> </w:t>
      </w:r>
      <w:r>
        <w:rPr>
          <w:rFonts w:ascii="Calibri" w:hAnsi="Calibri" w:cs="Times New Roman"/>
          <w:sz w:val="22"/>
          <w:szCs w:val="22"/>
          <w:lang w:val="en-AU"/>
        </w:rPr>
        <w:t>θ</w:t>
      </w:r>
      <w:r>
        <w:rPr>
          <w:rFonts w:asciiTheme="minorHAnsi" w:hAnsiTheme="minorHAnsi" w:cs="Times New Roman"/>
          <w:sz w:val="22"/>
          <w:szCs w:val="22"/>
          <w:lang w:val="en-AU"/>
        </w:rPr>
        <w:t xml:space="preserve">, </w:t>
      </w:r>
      <w:r w:rsidRPr="00E677BF">
        <w:rPr>
          <w:rFonts w:asciiTheme="minorHAnsi" w:hAnsiTheme="minorHAnsi" w:cs="Times New Roman"/>
          <w:sz w:val="22"/>
          <w:szCs w:val="22"/>
          <w:lang w:val="en-AU"/>
        </w:rPr>
        <w:t xml:space="preserve">from a </w:t>
      </w:r>
      <w:r>
        <w:rPr>
          <w:rFonts w:asciiTheme="minorHAnsi" w:hAnsiTheme="minorHAnsi" w:cs="Times New Roman"/>
          <w:sz w:val="22"/>
          <w:szCs w:val="22"/>
          <w:lang w:val="en-AU"/>
        </w:rPr>
        <w:t>point</w:t>
      </w:r>
      <w:r w:rsidRPr="00E677BF">
        <w:rPr>
          <w:rFonts w:asciiTheme="minorHAnsi" w:hAnsiTheme="minorHAnsi" w:cs="Times New Roman"/>
          <w:sz w:val="22"/>
          <w:szCs w:val="22"/>
          <w:lang w:val="en-AU"/>
        </w:rPr>
        <w:t xml:space="preserve"> at the mean of the vertices of the release area. East corresponds to</w:t>
      </w:r>
      <w:r>
        <w:rPr>
          <w:rFonts w:asciiTheme="minorHAnsi" w:hAnsiTheme="minorHAnsi" w:cs="Times New Roman"/>
          <w:sz w:val="22"/>
          <w:szCs w:val="22"/>
          <w:lang w:val="en-AU"/>
        </w:rPr>
        <w:t xml:space="preserve"> </w:t>
      </w:r>
      <w:r w:rsidRPr="00B6452F">
        <w:rPr>
          <w:rFonts w:ascii="Calibri" w:hAnsi="Calibri" w:cs="Times New Roman"/>
          <w:sz w:val="22"/>
          <w:szCs w:val="22"/>
          <w:lang w:val="en-AU"/>
        </w:rPr>
        <w:t>θ</w:t>
      </w:r>
      <w:r>
        <w:rPr>
          <w:rFonts w:ascii="Calibri" w:hAnsi="Calibri" w:cs="Times New Roman"/>
          <w:sz w:val="22"/>
          <w:szCs w:val="22"/>
          <w:lang w:val="en-AU"/>
        </w:rPr>
        <w:t xml:space="preserve"> = 0</w:t>
      </w:r>
      <w:r w:rsidRPr="00E677BF">
        <w:rPr>
          <w:rFonts w:asciiTheme="minorHAnsi" w:hAnsiTheme="minorHAnsi" w:cs="Times New Roman"/>
          <w:sz w:val="22"/>
          <w:szCs w:val="22"/>
          <w:lang w:val="en-AU"/>
        </w:rPr>
        <w:t xml:space="preserve">, and the angle is counted counter-clockwise, so that north corresponds to </w:t>
      </w:r>
      <w:r>
        <w:rPr>
          <w:rFonts w:ascii="Calibri" w:hAnsi="Calibri" w:cs="Times New Roman"/>
          <w:sz w:val="22"/>
          <w:szCs w:val="22"/>
          <w:lang w:val="en-AU"/>
        </w:rPr>
        <w:t xml:space="preserve">θ = </w:t>
      </w:r>
      <w:r w:rsidRPr="00F820FA">
        <w:rPr>
          <w:rFonts w:ascii="Symbol" w:hAnsi="Symbol" w:cs="Times New Roman"/>
          <w:sz w:val="22"/>
          <w:szCs w:val="22"/>
          <w:lang w:val="en-AU"/>
        </w:rPr>
        <w:t></w:t>
      </w:r>
      <w:r>
        <w:rPr>
          <w:rFonts w:ascii="Calibri" w:hAnsi="Calibri" w:cs="Times New Roman"/>
          <w:sz w:val="22"/>
          <w:szCs w:val="22"/>
          <w:lang w:val="en-AU"/>
        </w:rPr>
        <w:t>/2</w:t>
      </w:r>
      <w:r w:rsidRPr="00E677BF">
        <w:rPr>
          <w:rFonts w:asciiTheme="minorHAnsi" w:hAnsiTheme="minorHAnsi" w:cs="Times New Roman"/>
          <w:sz w:val="22"/>
          <w:szCs w:val="22"/>
          <w:lang w:val="en-AU"/>
        </w:rPr>
        <w:t xml:space="preserve">. </w:t>
      </w:r>
      <w:r>
        <w:rPr>
          <w:rFonts w:asciiTheme="minorHAnsi" w:hAnsiTheme="minorHAnsi" w:cs="Times New Roman"/>
          <w:sz w:val="22"/>
          <w:szCs w:val="22"/>
          <w:lang w:val="en-AU"/>
        </w:rPr>
        <w:t xml:space="preserve">To best fit the data, we introduce a parameter </w:t>
      </w:r>
      <w:r>
        <w:rPr>
          <w:rFonts w:ascii="Calibri" w:hAnsi="Calibri" w:cs="Times New Roman"/>
          <w:sz w:val="22"/>
          <w:szCs w:val="22"/>
          <w:lang w:val="en-AU"/>
        </w:rPr>
        <w:t>φ</w:t>
      </w:r>
      <w:r w:rsidRPr="00E677BF">
        <w:rPr>
          <w:rFonts w:asciiTheme="minorHAnsi" w:hAnsiTheme="minorHAnsi" w:cs="Times New Roman"/>
          <w:sz w:val="22"/>
          <w:szCs w:val="22"/>
          <w:lang w:val="en-AU"/>
        </w:rPr>
        <w:t xml:space="preserve"> </w:t>
      </w:r>
      <w:r>
        <w:rPr>
          <w:rFonts w:asciiTheme="minorHAnsi" w:hAnsiTheme="minorHAnsi" w:cs="Times New Roman"/>
          <w:sz w:val="22"/>
          <w:szCs w:val="22"/>
          <w:lang w:val="en-AU"/>
        </w:rPr>
        <w:t xml:space="preserve">and define </w:t>
      </w:r>
      <w:r w:rsidRPr="00E677BF">
        <w:rPr>
          <w:rFonts w:asciiTheme="minorHAnsi" w:hAnsiTheme="minorHAnsi" w:cs="Times New Roman"/>
          <w:sz w:val="22"/>
          <w:szCs w:val="22"/>
          <w:lang w:val="en-AU"/>
        </w:rPr>
        <w:t xml:space="preserve">four sectors by the intervals </w:t>
      </w:r>
      <w:r>
        <w:rPr>
          <w:rFonts w:asciiTheme="minorHAnsi" w:hAnsiTheme="minorHAnsi" w:cs="Times New Roman"/>
          <w:sz w:val="22"/>
          <w:szCs w:val="22"/>
          <w:lang w:val="en-AU"/>
        </w:rPr>
        <w:t>(</w:t>
      </w:r>
      <w:r>
        <w:rPr>
          <w:rFonts w:ascii="Calibri" w:hAnsi="Calibri" w:cs="Times New Roman"/>
          <w:sz w:val="22"/>
          <w:szCs w:val="22"/>
          <w:lang w:val="en-AU"/>
        </w:rPr>
        <w:t xml:space="preserve">φ – </w:t>
      </w:r>
      <w:r w:rsidRPr="00F820FA">
        <w:rPr>
          <w:rFonts w:ascii="Symbol" w:hAnsi="Symbol" w:cs="Times New Roman"/>
          <w:sz w:val="22"/>
          <w:szCs w:val="22"/>
          <w:lang w:val="en-AU"/>
        </w:rPr>
        <w:t></w:t>
      </w:r>
      <w:r>
        <w:rPr>
          <w:rFonts w:ascii="Symbol" w:hAnsi="Symbol" w:cs="Times New Roman"/>
          <w:sz w:val="22"/>
          <w:szCs w:val="22"/>
          <w:lang w:val="en-AU"/>
        </w:rPr>
        <w:t></w:t>
      </w:r>
      <w:r>
        <w:rPr>
          <w:rFonts w:ascii="Symbol" w:hAnsi="Symbol" w:cs="Times New Roman"/>
          <w:sz w:val="22"/>
          <w:szCs w:val="22"/>
          <w:lang w:val="en-AU"/>
        </w:rPr>
        <w:t></w:t>
      </w:r>
      <w:r w:rsidRPr="000A61DF">
        <w:rPr>
          <w:rFonts w:ascii="Calibri" w:hAnsi="Calibri" w:cs="Times New Roman"/>
          <w:sz w:val="22"/>
          <w:szCs w:val="22"/>
          <w:lang w:val="en-AU"/>
        </w:rPr>
        <w:t xml:space="preserve"> </w:t>
      </w:r>
      <w:r>
        <w:rPr>
          <w:rFonts w:ascii="Calibri" w:hAnsi="Calibri" w:cs="Times New Roman"/>
          <w:sz w:val="22"/>
          <w:szCs w:val="22"/>
          <w:lang w:val="en-AU"/>
        </w:rPr>
        <w:t xml:space="preserve">φ – </w:t>
      </w:r>
      <w:r w:rsidRPr="00F820FA">
        <w:rPr>
          <w:rFonts w:ascii="Symbol" w:hAnsi="Symbol" w:cs="Times New Roman"/>
          <w:sz w:val="22"/>
          <w:szCs w:val="22"/>
          <w:lang w:val="en-AU"/>
        </w:rPr>
        <w:t></w:t>
      </w:r>
      <w:r>
        <w:rPr>
          <w:rFonts w:ascii="Calibri" w:hAnsi="Calibri" w:cs="Times New Roman"/>
          <w:sz w:val="22"/>
          <w:szCs w:val="22"/>
          <w:lang w:val="en-AU"/>
        </w:rPr>
        <w:t>/2)</w:t>
      </w:r>
      <w:r>
        <w:rPr>
          <w:rFonts w:ascii="Symbol" w:hAnsi="Symbol" w:cs="Times New Roman"/>
          <w:sz w:val="22"/>
          <w:szCs w:val="22"/>
          <w:lang w:val="en-AU"/>
        </w:rPr>
        <w:t></w:t>
      </w:r>
      <w:r>
        <w:rPr>
          <w:rFonts w:ascii="Symbol" w:hAnsi="Symbol" w:cs="Times New Roman"/>
          <w:sz w:val="22"/>
          <w:szCs w:val="22"/>
          <w:lang w:val="en-AU"/>
        </w:rPr>
        <w:t></w:t>
      </w:r>
      <w:r>
        <w:rPr>
          <w:rFonts w:asciiTheme="minorHAnsi" w:hAnsiTheme="minorHAnsi" w:cs="Times New Roman"/>
          <w:sz w:val="22"/>
          <w:szCs w:val="22"/>
          <w:lang w:val="en-AU"/>
        </w:rPr>
        <w:t xml:space="preserve"> (</w:t>
      </w:r>
      <w:r>
        <w:rPr>
          <w:rFonts w:ascii="Calibri" w:hAnsi="Calibri" w:cs="Times New Roman"/>
          <w:sz w:val="22"/>
          <w:szCs w:val="22"/>
          <w:lang w:val="en-AU"/>
        </w:rPr>
        <w:t xml:space="preserve">φ – </w:t>
      </w:r>
      <w:r w:rsidRPr="00F820FA">
        <w:rPr>
          <w:rFonts w:ascii="Symbol" w:hAnsi="Symbol" w:cs="Times New Roman"/>
          <w:sz w:val="22"/>
          <w:szCs w:val="22"/>
          <w:lang w:val="en-AU"/>
        </w:rPr>
        <w:t></w:t>
      </w:r>
      <w:r>
        <w:rPr>
          <w:rFonts w:ascii="Calibri" w:hAnsi="Calibri" w:cs="Times New Roman"/>
          <w:sz w:val="22"/>
          <w:szCs w:val="22"/>
          <w:lang w:val="en-AU"/>
        </w:rPr>
        <w:t>/2</w:t>
      </w:r>
      <w:r>
        <w:rPr>
          <w:rFonts w:ascii="Symbol" w:hAnsi="Symbol" w:cs="Times New Roman"/>
          <w:sz w:val="22"/>
          <w:szCs w:val="22"/>
          <w:lang w:val="en-AU"/>
        </w:rPr>
        <w:t></w:t>
      </w:r>
      <w:r>
        <w:rPr>
          <w:rFonts w:ascii="Symbol" w:hAnsi="Symbol" w:cs="Times New Roman"/>
          <w:sz w:val="22"/>
          <w:szCs w:val="22"/>
          <w:lang w:val="en-AU"/>
        </w:rPr>
        <w:t></w:t>
      </w:r>
      <w:r w:rsidRPr="000A61DF">
        <w:rPr>
          <w:rFonts w:ascii="Calibri" w:hAnsi="Calibri" w:cs="Times New Roman"/>
          <w:sz w:val="22"/>
          <w:szCs w:val="22"/>
          <w:lang w:val="en-AU"/>
        </w:rPr>
        <w:t xml:space="preserve"> </w:t>
      </w:r>
      <w:r>
        <w:rPr>
          <w:rFonts w:ascii="Calibri" w:hAnsi="Calibri" w:cs="Times New Roman"/>
          <w:sz w:val="22"/>
          <w:szCs w:val="22"/>
          <w:lang w:val="en-AU"/>
        </w:rPr>
        <w:t xml:space="preserve">φ ), </w:t>
      </w:r>
      <w:r>
        <w:rPr>
          <w:rFonts w:asciiTheme="minorHAnsi" w:hAnsiTheme="minorHAnsi" w:cs="Times New Roman"/>
          <w:sz w:val="22"/>
          <w:szCs w:val="22"/>
          <w:lang w:val="en-AU"/>
        </w:rPr>
        <w:t>(</w:t>
      </w:r>
      <w:r>
        <w:rPr>
          <w:rFonts w:ascii="Calibri" w:hAnsi="Calibri" w:cs="Times New Roman"/>
          <w:sz w:val="22"/>
          <w:szCs w:val="22"/>
          <w:lang w:val="en-AU"/>
        </w:rPr>
        <w:t>φ</w:t>
      </w:r>
      <w:r>
        <w:rPr>
          <w:rFonts w:ascii="Symbol" w:hAnsi="Symbol" w:cs="Times New Roman"/>
          <w:sz w:val="22"/>
          <w:szCs w:val="22"/>
          <w:lang w:val="en-AU"/>
        </w:rPr>
        <w:t></w:t>
      </w:r>
      <w:r>
        <w:rPr>
          <w:rFonts w:ascii="Symbol" w:hAnsi="Symbol" w:cs="Times New Roman"/>
          <w:sz w:val="22"/>
          <w:szCs w:val="22"/>
          <w:lang w:val="en-AU"/>
        </w:rPr>
        <w:t></w:t>
      </w:r>
      <w:r w:rsidRPr="000A61DF">
        <w:rPr>
          <w:rFonts w:ascii="Calibri" w:hAnsi="Calibri" w:cs="Times New Roman"/>
          <w:sz w:val="22"/>
          <w:szCs w:val="22"/>
          <w:lang w:val="en-AU"/>
        </w:rPr>
        <w:t xml:space="preserve"> </w:t>
      </w:r>
      <w:r>
        <w:rPr>
          <w:rFonts w:ascii="Calibri" w:hAnsi="Calibri" w:cs="Times New Roman"/>
          <w:sz w:val="22"/>
          <w:szCs w:val="22"/>
          <w:lang w:val="en-AU"/>
        </w:rPr>
        <w:t xml:space="preserve">φ + </w:t>
      </w:r>
      <w:r w:rsidRPr="00F820FA">
        <w:rPr>
          <w:rFonts w:ascii="Symbol" w:hAnsi="Symbol" w:cs="Times New Roman"/>
          <w:sz w:val="22"/>
          <w:szCs w:val="22"/>
          <w:lang w:val="en-AU"/>
        </w:rPr>
        <w:t></w:t>
      </w:r>
      <w:r>
        <w:rPr>
          <w:rFonts w:ascii="Calibri" w:hAnsi="Calibri" w:cs="Times New Roman"/>
          <w:sz w:val="22"/>
          <w:szCs w:val="22"/>
          <w:lang w:val="en-AU"/>
        </w:rPr>
        <w:t xml:space="preserve">/2) and </w:t>
      </w:r>
      <w:r>
        <w:rPr>
          <w:rFonts w:asciiTheme="minorHAnsi" w:hAnsiTheme="minorHAnsi" w:cs="Times New Roman"/>
          <w:sz w:val="22"/>
          <w:szCs w:val="22"/>
          <w:lang w:val="en-AU"/>
        </w:rPr>
        <w:t>(</w:t>
      </w:r>
      <w:r>
        <w:rPr>
          <w:rFonts w:ascii="Calibri" w:hAnsi="Calibri" w:cs="Times New Roman"/>
          <w:sz w:val="22"/>
          <w:szCs w:val="22"/>
          <w:lang w:val="en-AU"/>
        </w:rPr>
        <w:t xml:space="preserve">φ + </w:t>
      </w:r>
      <w:r w:rsidRPr="00F820FA">
        <w:rPr>
          <w:rFonts w:ascii="Symbol" w:hAnsi="Symbol" w:cs="Times New Roman"/>
          <w:sz w:val="22"/>
          <w:szCs w:val="22"/>
          <w:lang w:val="en-AU"/>
        </w:rPr>
        <w:t></w:t>
      </w:r>
      <w:r>
        <w:rPr>
          <w:rFonts w:ascii="Calibri" w:hAnsi="Calibri" w:cs="Times New Roman"/>
          <w:sz w:val="22"/>
          <w:szCs w:val="22"/>
          <w:lang w:val="en-AU"/>
        </w:rPr>
        <w:t>/2</w:t>
      </w:r>
      <w:r>
        <w:rPr>
          <w:rFonts w:ascii="Symbol" w:hAnsi="Symbol" w:cs="Times New Roman"/>
          <w:sz w:val="22"/>
          <w:szCs w:val="22"/>
          <w:lang w:val="en-AU"/>
        </w:rPr>
        <w:t></w:t>
      </w:r>
      <w:r>
        <w:rPr>
          <w:rFonts w:ascii="Symbol" w:hAnsi="Symbol" w:cs="Times New Roman"/>
          <w:sz w:val="22"/>
          <w:szCs w:val="22"/>
          <w:lang w:val="en-AU"/>
        </w:rPr>
        <w:t></w:t>
      </w:r>
      <w:r w:rsidRPr="000A61DF">
        <w:rPr>
          <w:rFonts w:ascii="Calibri" w:hAnsi="Calibri" w:cs="Times New Roman"/>
          <w:sz w:val="22"/>
          <w:szCs w:val="22"/>
          <w:lang w:val="en-AU"/>
        </w:rPr>
        <w:t xml:space="preserve"> </w:t>
      </w:r>
      <w:r>
        <w:rPr>
          <w:rFonts w:ascii="Calibri" w:hAnsi="Calibri" w:cs="Times New Roman"/>
          <w:sz w:val="22"/>
          <w:szCs w:val="22"/>
          <w:lang w:val="en-AU"/>
        </w:rPr>
        <w:t xml:space="preserve">φ + </w:t>
      </w:r>
      <w:r w:rsidRPr="00F820FA">
        <w:rPr>
          <w:rFonts w:ascii="Symbol" w:hAnsi="Symbol" w:cs="Times New Roman"/>
          <w:sz w:val="22"/>
          <w:szCs w:val="22"/>
          <w:lang w:val="en-AU"/>
        </w:rPr>
        <w:t></w:t>
      </w:r>
      <w:r>
        <w:rPr>
          <w:rFonts w:ascii="Calibri" w:hAnsi="Calibri" w:cs="Times New Roman"/>
          <w:sz w:val="22"/>
          <w:szCs w:val="22"/>
          <w:lang w:val="en-AU"/>
        </w:rPr>
        <w:t xml:space="preserve">). </w:t>
      </w:r>
      <w:r>
        <w:rPr>
          <w:rFonts w:asciiTheme="minorHAnsi" w:hAnsiTheme="minorHAnsi" w:cs="Times New Roman"/>
          <w:sz w:val="22"/>
          <w:szCs w:val="22"/>
          <w:lang w:val="en-AU"/>
        </w:rPr>
        <w:t xml:space="preserve">We varied </w:t>
      </w:r>
      <w:r>
        <w:rPr>
          <w:rFonts w:ascii="Calibri" w:hAnsi="Calibri" w:cs="Times New Roman"/>
          <w:sz w:val="22"/>
          <w:szCs w:val="22"/>
          <w:lang w:val="en-AU"/>
        </w:rPr>
        <w:t xml:space="preserve">φ from 0 to </w:t>
      </w:r>
      <w:r w:rsidRPr="00F820FA">
        <w:rPr>
          <w:rFonts w:ascii="Symbol" w:hAnsi="Symbol" w:cs="Times New Roman"/>
          <w:sz w:val="22"/>
          <w:szCs w:val="22"/>
          <w:lang w:val="en-AU"/>
        </w:rPr>
        <w:t></w:t>
      </w:r>
      <w:r>
        <w:rPr>
          <w:rFonts w:ascii="Calibri" w:hAnsi="Calibri" w:cs="Times New Roman"/>
          <w:sz w:val="22"/>
          <w:szCs w:val="22"/>
          <w:lang w:val="en-AU"/>
        </w:rPr>
        <w:t xml:space="preserve">/4 in increments of </w:t>
      </w:r>
      <w:r w:rsidRPr="00F820FA">
        <w:rPr>
          <w:rFonts w:ascii="Symbol" w:hAnsi="Symbol" w:cs="Times New Roman"/>
          <w:sz w:val="22"/>
          <w:szCs w:val="22"/>
          <w:lang w:val="en-AU"/>
        </w:rPr>
        <w:t></w:t>
      </w:r>
      <w:r>
        <w:rPr>
          <w:rFonts w:ascii="Calibri" w:hAnsi="Calibri" w:cs="Times New Roman"/>
          <w:sz w:val="22"/>
          <w:szCs w:val="22"/>
          <w:lang w:val="en-AU"/>
        </w:rPr>
        <w:t xml:space="preserve">/16. For each φ, we fit </w:t>
      </w:r>
      <w:r w:rsidRPr="00D32B11">
        <w:rPr>
          <w:rFonts w:ascii="Calibri" w:hAnsi="Calibri" w:cs="Times New Roman"/>
          <w:i/>
          <w:sz w:val="22"/>
          <w:szCs w:val="22"/>
          <w:lang w:val="en-AU"/>
        </w:rPr>
        <w:t>R</w:t>
      </w:r>
      <w:r>
        <w:rPr>
          <w:rFonts w:ascii="Calibri" w:hAnsi="Calibri" w:cs="Times New Roman"/>
          <w:sz w:val="22"/>
          <w:szCs w:val="22"/>
          <w:lang w:val="en-AU"/>
        </w:rPr>
        <w:t xml:space="preserve">, </w:t>
      </w:r>
      <w:r w:rsidRPr="00EE5D61">
        <w:rPr>
          <w:rFonts w:asciiTheme="minorHAnsi" w:hAnsiTheme="minorHAnsi" w:cs="Times New Roman"/>
          <w:i/>
          <w:sz w:val="22"/>
          <w:szCs w:val="22"/>
        </w:rPr>
        <w:t>c</w:t>
      </w:r>
      <w:r w:rsidRPr="00EE5D61">
        <w:rPr>
          <w:rFonts w:asciiTheme="minorHAnsi" w:hAnsiTheme="minorHAnsi" w:cs="Times New Roman"/>
          <w:sz w:val="22"/>
          <w:szCs w:val="22"/>
          <w:vertAlign w:val="subscript"/>
        </w:rPr>
        <w:t>d</w:t>
      </w:r>
      <w:r w:rsidRPr="00EE5D61">
        <w:rPr>
          <w:rFonts w:asciiTheme="minorHAnsi" w:hAnsiTheme="minorHAnsi" w:cs="Times New Roman"/>
          <w:sz w:val="22"/>
          <w:szCs w:val="22"/>
        </w:rPr>
        <w:t xml:space="preserve"> </w:t>
      </w:r>
      <w:r w:rsidRPr="008A3B55">
        <w:rPr>
          <w:rFonts w:asciiTheme="minorHAnsi" w:hAnsiTheme="minorHAnsi" w:cs="Times New Roman"/>
          <w:sz w:val="22"/>
          <w:szCs w:val="22"/>
        </w:rPr>
        <w:t xml:space="preserve">and </w:t>
      </w:r>
      <w:r w:rsidRPr="008A3B55">
        <w:rPr>
          <w:rFonts w:asciiTheme="minorHAnsi" w:hAnsiTheme="minorHAnsi" w:cs="Times New Roman"/>
          <w:i/>
          <w:sz w:val="22"/>
          <w:szCs w:val="22"/>
        </w:rPr>
        <w:t>w</w:t>
      </w:r>
      <w:r>
        <w:rPr>
          <w:rFonts w:cs="Times New Roman"/>
        </w:rPr>
        <w:t xml:space="preserve"> </w:t>
      </w:r>
      <w:r>
        <w:rPr>
          <w:rFonts w:asciiTheme="minorHAnsi" w:hAnsiTheme="minorHAnsi" w:cs="Times New Roman"/>
          <w:sz w:val="22"/>
          <w:szCs w:val="22"/>
        </w:rPr>
        <w:t xml:space="preserve">separately for each sector. </w:t>
      </w:r>
    </w:p>
    <w:p w14:paraId="270DF886" w14:textId="77777777" w:rsidR="0018088C" w:rsidRDefault="0018088C" w:rsidP="0018088C"/>
    <w:p w14:paraId="5E04010C" w14:textId="77777777" w:rsidR="0018088C" w:rsidRPr="00632734" w:rsidRDefault="0018088C" w:rsidP="0018088C">
      <w:pPr>
        <w:pStyle w:val="Standard"/>
        <w:tabs>
          <w:tab w:val="left" w:pos="450"/>
        </w:tabs>
        <w:spacing w:before="30" w:line="440" w:lineRule="exact"/>
        <w:rPr>
          <w:rFonts w:asciiTheme="minorHAnsi" w:hAnsiTheme="minorHAnsi" w:cs="Times New Roman"/>
          <w:i/>
          <w:sz w:val="22"/>
          <w:szCs w:val="22"/>
          <w:lang w:val="en-AU"/>
        </w:rPr>
      </w:pPr>
      <w:r w:rsidRPr="00632734">
        <w:rPr>
          <w:rFonts w:asciiTheme="minorHAnsi" w:hAnsiTheme="minorHAnsi" w:cs="Times New Roman"/>
          <w:i/>
          <w:sz w:val="22"/>
          <w:szCs w:val="22"/>
          <w:lang w:val="en-AU"/>
        </w:rPr>
        <w:t>1.3.2. Results</w:t>
      </w:r>
    </w:p>
    <w:p w14:paraId="23F4AA49" w14:textId="773074F6" w:rsidR="0018088C" w:rsidRPr="003832F2" w:rsidRDefault="0018088C" w:rsidP="003832F2">
      <w:pPr>
        <w:spacing w:line="440" w:lineRule="exact"/>
        <w:rPr>
          <w:rFonts w:cs="Times New Roman"/>
          <w:b/>
        </w:rPr>
      </w:pPr>
      <w:r w:rsidRPr="00E677BF">
        <w:rPr>
          <w:rFonts w:cs="Times New Roman"/>
        </w:rPr>
        <w:t xml:space="preserve">The </w:t>
      </w:r>
      <w:r>
        <w:rPr>
          <w:rFonts w:cs="Times New Roman"/>
        </w:rPr>
        <w:t xml:space="preserve">highest likelihood is achieved with </w:t>
      </w:r>
      <w:r>
        <w:rPr>
          <w:rFonts w:ascii="Calibri" w:hAnsi="Calibri" w:cs="Times New Roman"/>
        </w:rPr>
        <w:t>φ</w:t>
      </w:r>
      <w:r w:rsidRPr="00E677BF">
        <w:rPr>
          <w:rFonts w:cs="Times New Roman"/>
        </w:rPr>
        <w:t xml:space="preserve"> </w:t>
      </w:r>
      <w:r>
        <w:rPr>
          <w:rFonts w:cs="Times New Roman"/>
        </w:rPr>
        <w:t xml:space="preserve">= </w:t>
      </w:r>
      <w:r w:rsidRPr="00E677BF">
        <w:rPr>
          <w:rFonts w:cs="Times New Roman"/>
        </w:rPr>
        <w:t>3</w:t>
      </w:r>
      <w:r w:rsidRPr="00F820FA">
        <w:rPr>
          <w:rFonts w:ascii="Symbol" w:hAnsi="Symbol" w:cs="Times New Roman"/>
        </w:rPr>
        <w:t></w:t>
      </w:r>
      <w:r>
        <w:rPr>
          <w:rFonts w:ascii="Calibri" w:hAnsi="Calibri" w:cs="Times New Roman"/>
        </w:rPr>
        <w:t xml:space="preserve">/16, </w:t>
      </w:r>
      <w:r w:rsidRPr="00E677BF">
        <w:rPr>
          <w:rFonts w:cs="Times New Roman"/>
        </w:rPr>
        <w:t>which gives a highly significant increase in log likelihood of 128.57, for 10 degrees of freedom</w:t>
      </w:r>
      <w:r>
        <w:rPr>
          <w:rFonts w:cs="Times New Roman"/>
        </w:rPr>
        <w:t xml:space="preserve">, in comparison to the best fit of the data using single (direction-independent) values of </w:t>
      </w:r>
      <w:r w:rsidRPr="00D32B11">
        <w:rPr>
          <w:rFonts w:ascii="Calibri" w:hAnsi="Calibri" w:cs="Times New Roman"/>
          <w:i/>
        </w:rPr>
        <w:t>R</w:t>
      </w:r>
      <w:r>
        <w:rPr>
          <w:rFonts w:ascii="Calibri" w:hAnsi="Calibri" w:cs="Times New Roman"/>
        </w:rPr>
        <w:t xml:space="preserve">, </w:t>
      </w:r>
      <w:r w:rsidRPr="00EE5D61">
        <w:rPr>
          <w:rFonts w:cs="Times New Roman"/>
          <w:i/>
        </w:rPr>
        <w:t>c</w:t>
      </w:r>
      <w:r w:rsidRPr="00EE5D61">
        <w:rPr>
          <w:rFonts w:cs="Times New Roman"/>
          <w:vertAlign w:val="subscript"/>
        </w:rPr>
        <w:t>d</w:t>
      </w:r>
      <w:r w:rsidRPr="00EE5D61">
        <w:rPr>
          <w:rFonts w:cs="Times New Roman"/>
        </w:rPr>
        <w:t xml:space="preserve"> </w:t>
      </w:r>
      <w:r w:rsidRPr="008A3B55">
        <w:rPr>
          <w:rFonts w:cs="Times New Roman"/>
        </w:rPr>
        <w:t xml:space="preserve">and </w:t>
      </w:r>
      <w:r w:rsidRPr="008A3B55">
        <w:rPr>
          <w:rFonts w:cs="Times New Roman"/>
          <w:i/>
        </w:rPr>
        <w:t>w</w:t>
      </w:r>
      <w:r>
        <w:rPr>
          <w:rFonts w:cs="Times New Roman"/>
        </w:rPr>
        <w:t xml:space="preserve">.  The MLEs are given in </w:t>
      </w:r>
      <w:r w:rsidR="001A6E7B">
        <w:rPr>
          <w:rFonts w:cs="Times New Roman"/>
        </w:rPr>
        <w:t>S5 Table</w:t>
      </w:r>
      <w:bookmarkStart w:id="0" w:name="_GoBack"/>
      <w:bookmarkEnd w:id="0"/>
      <w:r>
        <w:rPr>
          <w:rFonts w:cs="Times New Roman"/>
        </w:rPr>
        <w:t xml:space="preserve">. </w:t>
      </w:r>
      <w:r w:rsidR="00E306AD">
        <w:rPr>
          <w:rFonts w:cs="Times New Roman"/>
        </w:rPr>
        <w:t xml:space="preserve">S4 </w:t>
      </w:r>
      <w:r>
        <w:rPr>
          <w:rFonts w:cs="Times New Roman"/>
        </w:rPr>
        <w:t xml:space="preserve">Fig shows the estimated contours of </w:t>
      </w:r>
      <w:r w:rsidRPr="00895B0C">
        <w:rPr>
          <w:rFonts w:cs="Times New Roman"/>
          <w:i/>
        </w:rPr>
        <w:t>w</w:t>
      </w:r>
      <w:r>
        <w:rPr>
          <w:rFonts w:cs="Times New Roman"/>
        </w:rPr>
        <w:t xml:space="preserve">Mel frequency in each of the four sectors along with the average frequency data, approximately 750 days after the final releases. As expected from Fig 3, </w:t>
      </w:r>
      <w:r w:rsidRPr="00895B0C">
        <w:rPr>
          <w:rFonts w:cs="Times New Roman"/>
          <w:i/>
        </w:rPr>
        <w:t>w</w:t>
      </w:r>
      <w:r>
        <w:rPr>
          <w:rFonts w:cs="Times New Roman"/>
        </w:rPr>
        <w:t>Mel spread is fastest to the east and north and significantly slower to the south and west.</w:t>
      </w:r>
    </w:p>
    <w:sectPr w:rsidR="0018088C" w:rsidRPr="003832F2" w:rsidSect="003B5D28">
      <w:footerReference w:type="even" r:id="rId11"/>
      <w:footerReference w:type="defaul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1353D" w14:textId="77777777" w:rsidR="003B5D28" w:rsidRDefault="003B5D28" w:rsidP="003B5D28">
      <w:pPr>
        <w:spacing w:after="0" w:line="240" w:lineRule="auto"/>
      </w:pPr>
      <w:r>
        <w:separator/>
      </w:r>
    </w:p>
  </w:endnote>
  <w:endnote w:type="continuationSeparator" w:id="0">
    <w:p w14:paraId="074A07BF" w14:textId="77777777" w:rsidR="003B5D28" w:rsidRDefault="003B5D28" w:rsidP="003B5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DE70E" w14:textId="77777777" w:rsidR="003B5D28" w:rsidRDefault="003B5D28" w:rsidP="00DF5D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45D250" w14:textId="77777777" w:rsidR="003B5D28" w:rsidRDefault="003B5D28" w:rsidP="003B5D2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8A7E6" w14:textId="77777777" w:rsidR="003B5D28" w:rsidRDefault="003B5D28" w:rsidP="00DF5D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6E7B">
      <w:rPr>
        <w:rStyle w:val="PageNumber"/>
        <w:noProof/>
      </w:rPr>
      <w:t>3</w:t>
    </w:r>
    <w:r>
      <w:rPr>
        <w:rStyle w:val="PageNumber"/>
      </w:rPr>
      <w:fldChar w:fldCharType="end"/>
    </w:r>
  </w:p>
  <w:p w14:paraId="760E29CC" w14:textId="77777777" w:rsidR="003B5D28" w:rsidRDefault="003B5D28" w:rsidP="003B5D2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230F9" w14:textId="77777777" w:rsidR="003B5D28" w:rsidRDefault="003B5D28" w:rsidP="003B5D28">
      <w:pPr>
        <w:spacing w:after="0" w:line="240" w:lineRule="auto"/>
      </w:pPr>
      <w:r>
        <w:separator/>
      </w:r>
    </w:p>
  </w:footnote>
  <w:footnote w:type="continuationSeparator" w:id="0">
    <w:p w14:paraId="62EE4345" w14:textId="77777777" w:rsidR="003B5D28" w:rsidRDefault="003B5D28" w:rsidP="003B5D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88C"/>
    <w:rsid w:val="00025185"/>
    <w:rsid w:val="00061EC6"/>
    <w:rsid w:val="001238C9"/>
    <w:rsid w:val="001376B5"/>
    <w:rsid w:val="00144281"/>
    <w:rsid w:val="0018088C"/>
    <w:rsid w:val="00186E32"/>
    <w:rsid w:val="001A6E7B"/>
    <w:rsid w:val="001C76B4"/>
    <w:rsid w:val="001E2D1E"/>
    <w:rsid w:val="00244013"/>
    <w:rsid w:val="00284D78"/>
    <w:rsid w:val="00295964"/>
    <w:rsid w:val="00332E82"/>
    <w:rsid w:val="003832F2"/>
    <w:rsid w:val="00387ADA"/>
    <w:rsid w:val="003B5D28"/>
    <w:rsid w:val="003E7E64"/>
    <w:rsid w:val="00415F9B"/>
    <w:rsid w:val="00425CF4"/>
    <w:rsid w:val="00475AD7"/>
    <w:rsid w:val="004A20DF"/>
    <w:rsid w:val="004A764F"/>
    <w:rsid w:val="004C2FD5"/>
    <w:rsid w:val="00550261"/>
    <w:rsid w:val="005602E4"/>
    <w:rsid w:val="0056363D"/>
    <w:rsid w:val="00574B42"/>
    <w:rsid w:val="00590713"/>
    <w:rsid w:val="00594996"/>
    <w:rsid w:val="005E2B6C"/>
    <w:rsid w:val="0063052A"/>
    <w:rsid w:val="00705027"/>
    <w:rsid w:val="0077414D"/>
    <w:rsid w:val="007A4B23"/>
    <w:rsid w:val="00817625"/>
    <w:rsid w:val="00821446"/>
    <w:rsid w:val="008F6DDA"/>
    <w:rsid w:val="009469C3"/>
    <w:rsid w:val="0099426A"/>
    <w:rsid w:val="009C1641"/>
    <w:rsid w:val="00A01941"/>
    <w:rsid w:val="00A361F0"/>
    <w:rsid w:val="00A5514C"/>
    <w:rsid w:val="00A93DC8"/>
    <w:rsid w:val="00BD1EF9"/>
    <w:rsid w:val="00C45CE2"/>
    <w:rsid w:val="00C7172A"/>
    <w:rsid w:val="00C97BD4"/>
    <w:rsid w:val="00CB2788"/>
    <w:rsid w:val="00CE013A"/>
    <w:rsid w:val="00DF6614"/>
    <w:rsid w:val="00DF66AE"/>
    <w:rsid w:val="00E07300"/>
    <w:rsid w:val="00E306AD"/>
    <w:rsid w:val="00E760E3"/>
    <w:rsid w:val="00EB5FB9"/>
    <w:rsid w:val="00ED4020"/>
    <w:rsid w:val="00F9721F"/>
    <w:rsid w:val="00FB2BE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BC8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8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8088C"/>
    <w:pPr>
      <w:widowControl w:val="0"/>
      <w:suppressAutoHyphens/>
      <w:autoSpaceDN w:val="0"/>
      <w:spacing w:after="0" w:line="240" w:lineRule="auto"/>
      <w:textAlignment w:val="baseline"/>
    </w:pPr>
    <w:rPr>
      <w:rFonts w:ascii="Times New Roman" w:eastAsia="SimSun" w:hAnsi="Times New Roman" w:cs="Lucida Sans"/>
      <w:kern w:val="3"/>
      <w:sz w:val="24"/>
      <w:szCs w:val="24"/>
      <w:lang w:val="en-US" w:eastAsia="zh-CN" w:bidi="hi-IN"/>
    </w:rPr>
  </w:style>
  <w:style w:type="paragraph" w:styleId="BalloonText">
    <w:name w:val="Balloon Text"/>
    <w:basedOn w:val="Normal"/>
    <w:link w:val="BalloonTextChar"/>
    <w:uiPriority w:val="99"/>
    <w:semiHidden/>
    <w:unhideWhenUsed/>
    <w:rsid w:val="00061EC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1EC6"/>
    <w:rPr>
      <w:rFonts w:ascii="Lucida Grande" w:hAnsi="Lucida Grande" w:cs="Lucida Grande"/>
      <w:sz w:val="18"/>
      <w:szCs w:val="18"/>
    </w:rPr>
  </w:style>
  <w:style w:type="paragraph" w:styleId="Footer">
    <w:name w:val="footer"/>
    <w:basedOn w:val="Normal"/>
    <w:link w:val="FooterChar"/>
    <w:uiPriority w:val="99"/>
    <w:unhideWhenUsed/>
    <w:rsid w:val="003B5D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3B5D28"/>
  </w:style>
  <w:style w:type="character" w:styleId="PageNumber">
    <w:name w:val="page number"/>
    <w:basedOn w:val="DefaultParagraphFont"/>
    <w:uiPriority w:val="99"/>
    <w:semiHidden/>
    <w:unhideWhenUsed/>
    <w:rsid w:val="003B5D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8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8088C"/>
    <w:pPr>
      <w:widowControl w:val="0"/>
      <w:suppressAutoHyphens/>
      <w:autoSpaceDN w:val="0"/>
      <w:spacing w:after="0" w:line="240" w:lineRule="auto"/>
      <w:textAlignment w:val="baseline"/>
    </w:pPr>
    <w:rPr>
      <w:rFonts w:ascii="Times New Roman" w:eastAsia="SimSun" w:hAnsi="Times New Roman" w:cs="Lucida Sans"/>
      <w:kern w:val="3"/>
      <w:sz w:val="24"/>
      <w:szCs w:val="24"/>
      <w:lang w:val="en-US" w:eastAsia="zh-CN" w:bidi="hi-IN"/>
    </w:rPr>
  </w:style>
  <w:style w:type="paragraph" w:styleId="BalloonText">
    <w:name w:val="Balloon Text"/>
    <w:basedOn w:val="Normal"/>
    <w:link w:val="BalloonTextChar"/>
    <w:uiPriority w:val="99"/>
    <w:semiHidden/>
    <w:unhideWhenUsed/>
    <w:rsid w:val="00061EC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1EC6"/>
    <w:rPr>
      <w:rFonts w:ascii="Lucida Grande" w:hAnsi="Lucida Grande" w:cs="Lucida Grande"/>
      <w:sz w:val="18"/>
      <w:szCs w:val="18"/>
    </w:rPr>
  </w:style>
  <w:style w:type="paragraph" w:styleId="Footer">
    <w:name w:val="footer"/>
    <w:basedOn w:val="Normal"/>
    <w:link w:val="FooterChar"/>
    <w:uiPriority w:val="99"/>
    <w:unhideWhenUsed/>
    <w:rsid w:val="003B5D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3B5D28"/>
  </w:style>
  <w:style w:type="character" w:styleId="PageNumber">
    <w:name w:val="page number"/>
    <w:basedOn w:val="DefaultParagraphFont"/>
    <w:uiPriority w:val="99"/>
    <w:semiHidden/>
    <w:unhideWhenUsed/>
    <w:rsid w:val="003B5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image" Target="media/image3.emf"/><Relationship Id="rId10"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915</Words>
  <Characters>5220</Characters>
  <Application>Microsoft Macintosh Word</Application>
  <DocSecurity>0</DocSecurity>
  <Lines>43</Lines>
  <Paragraphs>12</Paragraphs>
  <ScaleCrop>false</ScaleCrop>
  <Company>The University of Melbourne</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Ludovic Schmidt</dc:creator>
  <cp:keywords/>
  <dc:description/>
  <cp:lastModifiedBy>Michael Turelli</cp:lastModifiedBy>
  <cp:revision>12</cp:revision>
  <cp:lastPrinted>2017-04-08T16:51:00Z</cp:lastPrinted>
  <dcterms:created xsi:type="dcterms:W3CDTF">2017-04-08T11:00:00Z</dcterms:created>
  <dcterms:modified xsi:type="dcterms:W3CDTF">2017-04-10T00:33:00Z</dcterms:modified>
</cp:coreProperties>
</file>