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5" w:rsidRDefault="007400D5" w:rsidP="007400D5">
      <w:pPr>
        <w:pStyle w:val="AppendixHead"/>
        <w:spacing w:before="0"/>
        <w:jc w:val="center"/>
      </w:pPr>
      <w:bookmarkStart w:id="0" w:name="TableS1"/>
      <w:bookmarkEnd w:id="0"/>
      <w:r>
        <w:t>Supplementary Materials (S2 Table) for</w:t>
      </w:r>
    </w:p>
    <w:p w:rsidR="007400D5" w:rsidRDefault="007400D5" w:rsidP="007400D5">
      <w:pPr>
        <w:pStyle w:val="AppendixHead"/>
        <w:spacing w:before="0"/>
        <w:jc w:val="center"/>
      </w:pPr>
    </w:p>
    <w:p w:rsidR="007400D5" w:rsidRDefault="007400D5" w:rsidP="007400D5">
      <w:pPr>
        <w:pStyle w:val="AppendixHead"/>
        <w:spacing w:before="0"/>
        <w:jc w:val="center"/>
      </w:pPr>
      <w:r>
        <w:t xml:space="preserve">History of Antibiotic Adaptation Influences Microbial Evolutionary Dynamics </w:t>
      </w:r>
      <w:proofErr w:type="gramStart"/>
      <w:r>
        <w:t>During</w:t>
      </w:r>
      <w:proofErr w:type="gramEnd"/>
      <w:r>
        <w:t xml:space="preserve"> Subsequent Treatment</w:t>
      </w:r>
    </w:p>
    <w:p w:rsidR="007400D5" w:rsidRDefault="007400D5" w:rsidP="007400D5">
      <w:pPr>
        <w:pStyle w:val="Authors"/>
        <w:spacing w:before="0" w:after="0"/>
      </w:pPr>
    </w:p>
    <w:p w:rsidR="007400D5" w:rsidRDefault="007400D5" w:rsidP="007400D5">
      <w:pPr>
        <w:pStyle w:val="Authors"/>
        <w:spacing w:before="0" w:after="0"/>
        <w:rPr>
          <w:vertAlign w:val="superscript"/>
        </w:rPr>
      </w:pPr>
      <w:r>
        <w:t xml:space="preserve">Phillip Yen and Jason </w:t>
      </w:r>
      <w:proofErr w:type="spellStart"/>
      <w:r>
        <w:t>Papin</w:t>
      </w:r>
      <w:proofErr w:type="spellEnd"/>
      <w:r w:rsidRPr="00B62DCD">
        <w:t>*</w:t>
      </w:r>
    </w:p>
    <w:p w:rsidR="007400D5" w:rsidRDefault="007400D5" w:rsidP="007400D5">
      <w:pPr>
        <w:pStyle w:val="Paragraph"/>
        <w:spacing w:before="0"/>
        <w:ind w:firstLine="0"/>
        <w:jc w:val="center"/>
      </w:pPr>
    </w:p>
    <w:p w:rsidR="007400D5" w:rsidRDefault="007400D5" w:rsidP="007400D5">
      <w:pPr>
        <w:pStyle w:val="Paragraph"/>
        <w:spacing w:before="0"/>
        <w:ind w:firstLine="0"/>
        <w:jc w:val="center"/>
      </w:pPr>
      <w:r>
        <w:t>*Corresponding author. E-mail: papin@virginia.edu</w:t>
      </w:r>
    </w:p>
    <w:p w:rsidR="007400D5" w:rsidRPr="006767A1" w:rsidRDefault="007400D5" w:rsidP="007400D5">
      <w:pPr>
        <w:rPr>
          <w:sz w:val="24"/>
          <w:szCs w:val="24"/>
        </w:rPr>
      </w:pPr>
    </w:p>
    <w:tbl>
      <w:tblPr>
        <w:tblW w:w="11295" w:type="dxa"/>
        <w:tblInd w:w="-792" w:type="dxa"/>
        <w:tblLook w:val="04A0" w:firstRow="1" w:lastRow="0" w:firstColumn="1" w:lastColumn="0" w:noHBand="0" w:noVBand="1"/>
      </w:tblPr>
      <w:tblGrid>
        <w:gridCol w:w="2158"/>
        <w:gridCol w:w="2162"/>
        <w:gridCol w:w="1800"/>
        <w:gridCol w:w="5175"/>
      </w:tblGrid>
      <w:tr w:rsidR="007400D5" w:rsidRPr="006A32D3" w:rsidTr="009F2F3C">
        <w:trPr>
          <w:trHeight w:val="2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Gene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Locus tag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Functional class</w:t>
            </w:r>
          </w:p>
        </w:tc>
        <w:tc>
          <w:tcPr>
            <w:tcW w:w="5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Description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aldG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]–[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acsA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[PA14_33890]-[PA14_38690]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Large deletions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380 genes 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ccoP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]-[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ccoP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[PA14_44360]-[PA14_44400]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Energy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5 genes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flgJ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]–[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flgI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[PA14_50380]-[PA14_50410]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flgJ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], 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flgI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glgX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]–[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nhaB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[PA14_36630]-[PA14_41000]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Large deletions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341 genes 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nfxB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[PA14_60860]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MexCD-OprJ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nfxB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]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[PA14_12210]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[PA14_12210]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[PA14_12210]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[PA14_37690]–[PA14_39660]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[PA14_37690]–[PA14_39660]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Large deletions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151 genes 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aceA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PA14_66290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pyruvate dehydrogenase, E1 component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algC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PA14_70270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phosphomannomutase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AlgC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ampR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PA14_10800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Beta-lactamases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transcriptional regulator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AmpR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amrB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PA14_38410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MexXY-OprM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RND multidrug efflux transporter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aotJ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PA14_52790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arginine/ornithine binding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AotJ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aprX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/PA14_48150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PA14_48140/PA14_48150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conserved hypothetical protein/hypothetical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aroB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PA14_66600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3-dehydroquinate synthase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atpC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PA14_73230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Energy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ATP synthase epsilon chain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atpC</w:t>
            </w:r>
            <w:proofErr w:type="spellEnd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atpD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PA14_73230/PA14_73240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Energy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ATP synthase epsilon chain/ATP synthase beta chain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cheB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PA14_45580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chemotaxis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methylesterase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chpA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PA14_05390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Chemotaxis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ChpA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clpA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PA14_30230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ATP-dependent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clp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protease, ATP-binding subunit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ClpA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clpS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PA14_30210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ATP-dependent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Clp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protease adaptor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clpS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cpxR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PA14_22760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Two-component sensor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transcriptional regulator in 2-component system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cycB</w:t>
            </w:r>
            <w:proofErr w:type="spellEnd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pauR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PA14_69970/PA14_69980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Energy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cytochrome c5/putative transcriptional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dacB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PA14_24690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Beta-lactamases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D-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alanyl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-D-alanine carboxypeptidase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dacC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PA14_12100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Cell wall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D-ala-D-ala-carboxypeptidase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dadA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PA14_70040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D-amino acid dehydrogenase, small subunit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envZ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PA14_68680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Two-component sensor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two-component sensor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EnvZ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erfK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PA14_27180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ErfK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YbiS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YcfS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YnhG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family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fixI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PA14_44440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cation-transporting P-type ATPase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fleN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PA14_45640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flagellar synthesis regulator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FleN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flgF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PA14_50440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flagellar basal-body rod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FlgF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flgG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PA14_50430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flagellar basal-body rod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FlgG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flgK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PA14_50360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flagellar hook-associated protein 1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FlgK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fliA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PA14_45630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motility sigma factor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FliA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fliP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PA14_45770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flagellar biosynthetic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FliP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fusA1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PA14_08820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Ribosome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elongation factor G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gcdH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PA14_05840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glutaryl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-CoA dehydrogenase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gcvP2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PA14_33000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glycine cleavage system protein P2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gltA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PA14_44070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citrate synthase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gyrA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PA14_23260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DNA/RNA synthesis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 gyrase subunit A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gyrB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PA14_00050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DNA/RNA synthesis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 gyrase subunit B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intT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–PA14_49030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PA14_48880–PA14_49030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Large deletions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16 genes 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iscR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PA14_14710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Rrf2 family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lhpE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PA14_47860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oxidoreductase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PA14_05530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MexAB-OprM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RND multidrug efflux membrane fusion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MexA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precursor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mexC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PA14_60850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MexCD-OprJ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multidrug efflux RND membrane fusion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mexC</w:t>
            </w:r>
            <w:proofErr w:type="spellEnd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nfxB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PA14_60850/PA14_60860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MexCD-OprJ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multidrug efflux RND membrane fusion protein/transcriptional regulatory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NfxB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mexD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PA14_60830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MexCD-OprJ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multidrug efflux RND transporter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MexD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mexF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PA14_32390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MexEF-OprN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RND multidrug efflux transporter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MexF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PA14_05520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MexAB-OprM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multidrug resistance operon repressor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MexR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mexR</w:t>
            </w:r>
            <w:proofErr w:type="spellEnd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PA14_05520/PA14_05530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MexAB-OprM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multidrug resistance operon repressor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MexR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/RND multidrug efflux membrane fusion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MexA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precursor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mexS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PA14_32420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MexEF-OprN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Zn-dependent oxidoreductase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mexT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PA14_32410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MexEF-OprN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transcriptional regulator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MexT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miaA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PA14_65320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Ribosome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delta 2-isopentenylpyrophosphate transferase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minC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PA14_22040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Cell division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cell division inhibitor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MinC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morA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PA14_60870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motility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mpl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PA14_11845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Cell wall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UDP-N-acetylmuramate:L-alanyl-gamma-D-glutamyl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-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meso-diaminopimelate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ligase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mucB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PA14_54410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negative regulator for alginate biosynthesis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MucB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muxA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PA14_31870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MuxABC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RND efflux membrane fusion protein precursor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mvfR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PA14_51340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Transcriptional regulator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MvfR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nalC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PA14_16280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MexAB-OprM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transcriptional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lastRenderedPageBreak/>
              <w:t>nalC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/PA14_16290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PA14_16280/PA14_16290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MexAB-OprM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transcriptional regulator/conserved hypothetical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nalD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PA14_18080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MexAB-OprM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transcriptional regulator,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TetR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family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nfxB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PA14_60860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MexCD-OprJ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transcriptional regulatory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NfxB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np20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PA14_72560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regulator np20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nppA1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PA14_41110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solute-binding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nuoB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PA14_30010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NADH dehydrogenase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NADH dehydrogenase I chain B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nuoG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PA14_29940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NADH dehydrogenase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NADH dehydrogenase I chain G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nuoL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PA14_29880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NADH dehydrogenase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NADH dehydrogenase I chain L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nuoM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PA14_29860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NADH dehydrogenase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NADH dehydrogenase I chain M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orfH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PA14_23380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UDP-N-acetyl-D-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mannosaminuronate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dehydrogenase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orfJ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PA14_23410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glycosyl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transferase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orfN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PA14_23460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group 4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glycosyl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transferase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PA14_09960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PA14_09960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transcriptional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PA14_12140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PA14_12140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transcriptional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PA14_20960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PA14_20960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isomerase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PA14_21820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PA14_21820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peptidyl-prolyl cis-trans isomerase,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FkbP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-type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PA14_22730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PA14_22730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Two-component sensor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two component sensor histidine kinase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PA14_25490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PA14_25490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tolQ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-type transport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PA14_27360/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deaD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PA14_27360/PA14_27370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enoyl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-CoA hydratase/putative ATP-dependent RNA helicase, DEAD box family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PA14_27940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PA14_27940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Two-component sensor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two-component response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PA14_30540/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ssuA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PA14_30540/PA14_30550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periplasmic aliphatic sulfonate-binding protein/putative periplasmic aliphatic sulfonate-binding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PA14_31100/PA14_31110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PA14_31100/PA14_31110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plasmid partitioning protein/putative replication initiator and transcriptional repressor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PA14_34500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PA14_34500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ATP-binding component of ABC transporter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PA14_35210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PA14_35210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transcriptional regulator,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TetR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family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PA14_35720–[PA14_40040]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PA14_35720–[PA14_40040]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Large deletions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343 genes 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PA14_37170/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ada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PA14_37170/PA14_37190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conserved hypothetical protein/O6-methylguanine-DNA methyltransferase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PA14_38500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PA14_38500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transcriptional regulator,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IclR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family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PA14_39360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PA14_39360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sigma-54 dependent transcriptional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PA14_41710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PA14_41710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membrane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PA14_41730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PA14_41730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conserved hypothetical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PA14_44990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PA14_44990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conserved hypothetical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PA14_48800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PA14_48800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lipoprotein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PA14_49300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PA14_49300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probable lipoxygenase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PA14_51910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PA14_51910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PA14_57470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methyltransferases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PA14_57540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Energy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cytochrome c1 precursor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PA14_57570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PA14_57570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Energy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cytochrome c reductase, iron-sulfur subunit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PA14_57850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PA14_57850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conserved hypothetical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PA14_57880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PA14_57880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toluene tolerance ABC efflux transporter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PA14_65570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PA14_65570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conserved hypothetical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PA14_66170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PA14_66170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putative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carbamoyltransferase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PA14_69250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PA14_69250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membrane-associated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parS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PA14_41270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MexEF-OprN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two-component sensor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pauR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PA14_69980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transcriptional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pckA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PA14_68580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Energy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phosphoenolpyruvate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carboxykinase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pepA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PA14_14470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leucine aminopeptidase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pmrB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PA14_63160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Two-component sensor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two-component sensor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prs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PA14_61770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ribose-phosphate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pyrophosphokinase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ptsP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PA14_04410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Quorum sensing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phosphoenolpyruvate-protein phosphotransferase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rne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PA14_25560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DNA/RNA synthesis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ribonuclease 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rne</w:t>
            </w:r>
            <w:proofErr w:type="spellEnd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rluC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PA14_25560/PA14_25580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Ribosome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ribonuclease E/ribosomal large subunit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pseudouridine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synthase C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rnk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PA14_69630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Transcriptional regulation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nucleoside diphosphate kinase regulator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rplF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PA14_09000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Ribosome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50S ribosomal protein L6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rplJ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PA14_08740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Ribosome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50S ribosomal protein L10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rplL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PA14_08750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Ribosome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50S ribosomal protein L7 / L12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rpoC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PA14_08780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DNA/RNA synthesis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DNA-directed RNA polymerase beta* chain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rpoN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PA14_57940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DNA/RNA synthesis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RNA polymerase sigma-54 factor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rpsL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PA14_08790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Ribosome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30S ribosomal protein S12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sahH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PA14_05620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Metabolism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S-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adenosyl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-L-homocysteine hydrolase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secA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preprotein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translocase,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SecA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 subunit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spoT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PA14_70470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Stringent response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guanosine-3',5'-bis(diphosphate) 3'-pyrophosphohydrolase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sucD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PA14_43940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Energy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succinyl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-CoA synthetase alpha chain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topA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PA14_25110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DNA/RNA synthesis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 topoisomerase I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tRNA-Thr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/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tufB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PA14_08670/PA14_08680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Ribosome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tRNA-Thr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/elongation factor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Tu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tRNA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-Val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PA14_28190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DNA/RNA synthesis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tRNA</w:t>
            </w:r>
            <w:proofErr w:type="spellEnd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-Val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ttg2D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PA14_57840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Hypothetical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toluene tolerance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wbpM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PA14_23470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nucleotide sugar epimerase/dehydratase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WbpM</w:t>
            </w:r>
            <w:proofErr w:type="spellEnd"/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wspA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PA14_16430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Flagella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methyl-accepting chemotaxis transducer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ycjJ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PA14_17740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Membrane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putative amino acid/amine transport protein</w:t>
            </w:r>
          </w:p>
        </w:tc>
      </w:tr>
      <w:tr w:rsidR="007400D5" w:rsidRPr="006A32D3" w:rsidTr="009F2F3C">
        <w:trPr>
          <w:trHeight w:val="20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</w:pPr>
            <w:proofErr w:type="spellStart"/>
            <w:r w:rsidRPr="006A32D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TW"/>
              </w:rPr>
              <w:t>zipA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PA14_44670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Cell division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5" w:rsidRPr="006A32D3" w:rsidRDefault="007400D5" w:rsidP="009F2F3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</w:pPr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 xml:space="preserve">cell division protein </w:t>
            </w:r>
            <w:proofErr w:type="spellStart"/>
            <w:r w:rsidRPr="006A32D3">
              <w:rPr>
                <w:rFonts w:ascii="Arial" w:eastAsia="Times New Roman" w:hAnsi="Arial" w:cs="Arial"/>
                <w:color w:val="000000"/>
                <w:sz w:val="14"/>
                <w:szCs w:val="14"/>
                <w:lang w:eastAsia="zh-TW"/>
              </w:rPr>
              <w:t>ZipA</w:t>
            </w:r>
            <w:proofErr w:type="spellEnd"/>
          </w:p>
        </w:tc>
      </w:tr>
    </w:tbl>
    <w:p w:rsidR="00241A04" w:rsidRDefault="00241A04" w:rsidP="007400D5">
      <w:pPr>
        <w:pStyle w:val="Paragraph"/>
        <w:spacing w:before="0"/>
        <w:ind w:firstLine="0"/>
      </w:pPr>
    </w:p>
    <w:p w:rsidR="005D18B0" w:rsidRDefault="007400D5" w:rsidP="00241A04">
      <w:pPr>
        <w:pStyle w:val="Paragraph"/>
        <w:spacing w:before="0"/>
        <w:ind w:firstLine="0"/>
      </w:pPr>
      <w:r>
        <w:t>Brackets (e.g. [</w:t>
      </w:r>
      <w:r w:rsidRPr="001E7602">
        <w:rPr>
          <w:i/>
        </w:rPr>
        <w:t>gene</w:t>
      </w:r>
      <w:r>
        <w:t xml:space="preserve">]) denote deletion of more than a few base pairs within a gene. Forward slashes (e.g. </w:t>
      </w:r>
      <w:r w:rsidRPr="001E7602">
        <w:rPr>
          <w:i/>
        </w:rPr>
        <w:t>gene1</w:t>
      </w:r>
      <w:r>
        <w:t>/</w:t>
      </w:r>
      <w:r w:rsidRPr="001E7602">
        <w:rPr>
          <w:i/>
        </w:rPr>
        <w:t>gene2</w:t>
      </w:r>
      <w:r>
        <w:t xml:space="preserve">) denote mutations in the intergenic region between the two genes. Hyphens (e.g. </w:t>
      </w:r>
      <w:r w:rsidRPr="001E7602">
        <w:rPr>
          <w:i/>
        </w:rPr>
        <w:t>gene1</w:t>
      </w:r>
      <w:r>
        <w:t>—</w:t>
      </w:r>
      <w:r w:rsidRPr="001E7602">
        <w:rPr>
          <w:i/>
        </w:rPr>
        <w:t>gene2</w:t>
      </w:r>
      <w:r w:rsidRPr="001E7602">
        <w:t>)</w:t>
      </w:r>
      <w:r>
        <w:t xml:space="preserve"> denote deletions spanning multiple genes.</w:t>
      </w:r>
      <w:bookmarkStart w:id="1" w:name="_GoBack"/>
      <w:bookmarkEnd w:id="1"/>
    </w:p>
    <w:sectPr w:rsidR="005D1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72F"/>
    <w:multiLevelType w:val="multilevel"/>
    <w:tmpl w:val="00949B3E"/>
    <w:lvl w:ilvl="0">
      <w:start w:val="1"/>
      <w:numFmt w:val="decimal"/>
      <w:pStyle w:val="BigBoldGeorgia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argeMinionBold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ormalMinionBold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6F6241AB"/>
    <w:multiLevelType w:val="multilevel"/>
    <w:tmpl w:val="B83E98F4"/>
    <w:styleLink w:val="dissertation2"/>
    <w:lvl w:ilvl="0">
      <w:start w:val="1"/>
      <w:numFmt w:val="decimal"/>
      <w:pStyle w:val="Heading1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5"/>
    <w:rsid w:val="00030AFF"/>
    <w:rsid w:val="0004649E"/>
    <w:rsid w:val="0010520A"/>
    <w:rsid w:val="00241A04"/>
    <w:rsid w:val="003B37E3"/>
    <w:rsid w:val="003D2AAE"/>
    <w:rsid w:val="005D18B0"/>
    <w:rsid w:val="007400D5"/>
    <w:rsid w:val="00753808"/>
    <w:rsid w:val="00C90C43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D5"/>
    <w:pPr>
      <w:spacing w:line="240" w:lineRule="auto"/>
    </w:pPr>
    <w:rPr>
      <w:rFonts w:eastAsia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49E"/>
    <w:pPr>
      <w:numPr>
        <w:numId w:val="5"/>
      </w:numPr>
      <w:spacing w:line="276" w:lineRule="auto"/>
      <w:outlineLvl w:val="0"/>
    </w:pPr>
    <w:rPr>
      <w:rFonts w:ascii="Georgia" w:eastAsiaTheme="minorHAnsi" w:hAnsi="Georgia" w:cstheme="minorBidi"/>
      <w:b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49E"/>
    <w:rPr>
      <w:rFonts w:ascii="Georgia" w:hAnsi="Georgia"/>
      <w:b/>
      <w:sz w:val="72"/>
    </w:rPr>
  </w:style>
  <w:style w:type="paragraph" w:styleId="Title">
    <w:name w:val="Title"/>
    <w:basedOn w:val="Heading1"/>
    <w:next w:val="Normal"/>
    <w:link w:val="TitleChar"/>
    <w:uiPriority w:val="10"/>
    <w:qFormat/>
    <w:rsid w:val="0004649E"/>
  </w:style>
  <w:style w:type="character" w:customStyle="1" w:styleId="TitleChar">
    <w:name w:val="Title Char"/>
    <w:basedOn w:val="DefaultParagraphFont"/>
    <w:link w:val="Title"/>
    <w:uiPriority w:val="10"/>
    <w:rsid w:val="0004649E"/>
    <w:rPr>
      <w:rFonts w:ascii="Georgia" w:hAnsi="Georgia"/>
      <w:b/>
      <w:sz w:val="72"/>
    </w:rPr>
  </w:style>
  <w:style w:type="paragraph" w:customStyle="1" w:styleId="LargeMinionBold">
    <w:name w:val="Large Minion Bold"/>
    <w:basedOn w:val="Normal"/>
    <w:link w:val="LargeMinionBoldChar"/>
    <w:qFormat/>
    <w:rsid w:val="003B37E3"/>
    <w:pPr>
      <w:numPr>
        <w:ilvl w:val="1"/>
        <w:numId w:val="4"/>
      </w:numPr>
      <w:spacing w:line="480" w:lineRule="auto"/>
      <w:jc w:val="both"/>
    </w:pPr>
    <w:rPr>
      <w:rFonts w:ascii="Minion Pro SmBd" w:eastAsiaTheme="minorHAnsi" w:hAnsi="Minion Pro SmBd" w:cstheme="minorBidi"/>
      <w:sz w:val="32"/>
      <w:szCs w:val="32"/>
    </w:rPr>
  </w:style>
  <w:style w:type="character" w:customStyle="1" w:styleId="LargeMinionBoldChar">
    <w:name w:val="Large Minion Bold Char"/>
    <w:basedOn w:val="DefaultParagraphFont"/>
    <w:link w:val="LargeMinionBold"/>
    <w:rsid w:val="003B37E3"/>
    <w:rPr>
      <w:rFonts w:ascii="Minion Pro SmBd" w:hAnsi="Minion Pro SmBd"/>
      <w:sz w:val="32"/>
      <w:szCs w:val="32"/>
    </w:rPr>
  </w:style>
  <w:style w:type="paragraph" w:customStyle="1" w:styleId="BigBoldGeorgia">
    <w:name w:val="Big Bold Georgia"/>
    <w:basedOn w:val="Normal"/>
    <w:link w:val="BigBoldGeorgiaChar"/>
    <w:qFormat/>
    <w:rsid w:val="003B37E3"/>
    <w:pPr>
      <w:numPr>
        <w:numId w:val="4"/>
      </w:numPr>
      <w:spacing w:line="480" w:lineRule="auto"/>
      <w:jc w:val="both"/>
    </w:pPr>
    <w:rPr>
      <w:rFonts w:ascii="Georgia" w:eastAsiaTheme="minorHAnsi" w:hAnsi="Georgia" w:cstheme="minorBidi"/>
      <w:b/>
      <w:sz w:val="74"/>
      <w:szCs w:val="74"/>
    </w:rPr>
  </w:style>
  <w:style w:type="character" w:customStyle="1" w:styleId="BigBoldGeorgiaChar">
    <w:name w:val="Big Bold Georgia Char"/>
    <w:basedOn w:val="DefaultParagraphFont"/>
    <w:link w:val="BigBoldGeorgia"/>
    <w:rsid w:val="003B37E3"/>
    <w:rPr>
      <w:rFonts w:ascii="Georgia" w:hAnsi="Georgia"/>
      <w:b/>
      <w:sz w:val="74"/>
      <w:szCs w:val="74"/>
    </w:rPr>
  </w:style>
  <w:style w:type="paragraph" w:customStyle="1" w:styleId="NormalMinionBold">
    <w:name w:val="Normal Minion Bold"/>
    <w:basedOn w:val="Normal"/>
    <w:link w:val="NormalMinionBoldChar"/>
    <w:qFormat/>
    <w:rsid w:val="003B37E3"/>
    <w:pPr>
      <w:numPr>
        <w:ilvl w:val="2"/>
        <w:numId w:val="3"/>
      </w:numPr>
      <w:spacing w:line="480" w:lineRule="auto"/>
      <w:jc w:val="both"/>
    </w:pPr>
    <w:rPr>
      <w:rFonts w:ascii="Minion Pro SmBd" w:eastAsiaTheme="minorHAnsi" w:hAnsi="Minion Pro SmBd" w:cstheme="minorBidi"/>
      <w:sz w:val="24"/>
      <w:szCs w:val="24"/>
    </w:rPr>
  </w:style>
  <w:style w:type="character" w:customStyle="1" w:styleId="NormalMinionBoldChar">
    <w:name w:val="Normal Minion Bold Char"/>
    <w:basedOn w:val="DefaultParagraphFont"/>
    <w:link w:val="NormalMinionBold"/>
    <w:rsid w:val="003B37E3"/>
    <w:rPr>
      <w:rFonts w:ascii="Minion Pro SmBd" w:hAnsi="Minion Pro SmBd"/>
    </w:rPr>
  </w:style>
  <w:style w:type="numbering" w:customStyle="1" w:styleId="dissertation2">
    <w:name w:val="dissertation2"/>
    <w:uiPriority w:val="99"/>
    <w:rsid w:val="003B37E3"/>
    <w:pPr>
      <w:numPr>
        <w:numId w:val="1"/>
      </w:numPr>
    </w:pPr>
  </w:style>
  <w:style w:type="paragraph" w:customStyle="1" w:styleId="Paragraph">
    <w:name w:val="Paragraph"/>
    <w:basedOn w:val="Normal"/>
    <w:rsid w:val="007400D5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AppendixHead">
    <w:name w:val="AppendixHead"/>
    <w:basedOn w:val="Normal"/>
    <w:rsid w:val="007400D5"/>
    <w:pPr>
      <w:keepNext/>
      <w:spacing w:before="24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uthors">
    <w:name w:val="Authors"/>
    <w:basedOn w:val="Normal"/>
    <w:rsid w:val="007400D5"/>
    <w:pPr>
      <w:spacing w:before="120" w:after="360"/>
      <w:jc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D5"/>
    <w:pPr>
      <w:spacing w:line="240" w:lineRule="auto"/>
    </w:pPr>
    <w:rPr>
      <w:rFonts w:eastAsia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49E"/>
    <w:pPr>
      <w:numPr>
        <w:numId w:val="5"/>
      </w:numPr>
      <w:spacing w:line="276" w:lineRule="auto"/>
      <w:outlineLvl w:val="0"/>
    </w:pPr>
    <w:rPr>
      <w:rFonts w:ascii="Georgia" w:eastAsiaTheme="minorHAnsi" w:hAnsi="Georgia" w:cstheme="minorBidi"/>
      <w:b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49E"/>
    <w:rPr>
      <w:rFonts w:ascii="Georgia" w:hAnsi="Georgia"/>
      <w:b/>
      <w:sz w:val="72"/>
    </w:rPr>
  </w:style>
  <w:style w:type="paragraph" w:styleId="Title">
    <w:name w:val="Title"/>
    <w:basedOn w:val="Heading1"/>
    <w:next w:val="Normal"/>
    <w:link w:val="TitleChar"/>
    <w:uiPriority w:val="10"/>
    <w:qFormat/>
    <w:rsid w:val="0004649E"/>
  </w:style>
  <w:style w:type="character" w:customStyle="1" w:styleId="TitleChar">
    <w:name w:val="Title Char"/>
    <w:basedOn w:val="DefaultParagraphFont"/>
    <w:link w:val="Title"/>
    <w:uiPriority w:val="10"/>
    <w:rsid w:val="0004649E"/>
    <w:rPr>
      <w:rFonts w:ascii="Georgia" w:hAnsi="Georgia"/>
      <w:b/>
      <w:sz w:val="72"/>
    </w:rPr>
  </w:style>
  <w:style w:type="paragraph" w:customStyle="1" w:styleId="LargeMinionBold">
    <w:name w:val="Large Minion Bold"/>
    <w:basedOn w:val="Normal"/>
    <w:link w:val="LargeMinionBoldChar"/>
    <w:qFormat/>
    <w:rsid w:val="003B37E3"/>
    <w:pPr>
      <w:numPr>
        <w:ilvl w:val="1"/>
        <w:numId w:val="4"/>
      </w:numPr>
      <w:spacing w:line="480" w:lineRule="auto"/>
      <w:jc w:val="both"/>
    </w:pPr>
    <w:rPr>
      <w:rFonts w:ascii="Minion Pro SmBd" w:eastAsiaTheme="minorHAnsi" w:hAnsi="Minion Pro SmBd" w:cstheme="minorBidi"/>
      <w:sz w:val="32"/>
      <w:szCs w:val="32"/>
    </w:rPr>
  </w:style>
  <w:style w:type="character" w:customStyle="1" w:styleId="LargeMinionBoldChar">
    <w:name w:val="Large Minion Bold Char"/>
    <w:basedOn w:val="DefaultParagraphFont"/>
    <w:link w:val="LargeMinionBold"/>
    <w:rsid w:val="003B37E3"/>
    <w:rPr>
      <w:rFonts w:ascii="Minion Pro SmBd" w:hAnsi="Minion Pro SmBd"/>
      <w:sz w:val="32"/>
      <w:szCs w:val="32"/>
    </w:rPr>
  </w:style>
  <w:style w:type="paragraph" w:customStyle="1" w:styleId="BigBoldGeorgia">
    <w:name w:val="Big Bold Georgia"/>
    <w:basedOn w:val="Normal"/>
    <w:link w:val="BigBoldGeorgiaChar"/>
    <w:qFormat/>
    <w:rsid w:val="003B37E3"/>
    <w:pPr>
      <w:numPr>
        <w:numId w:val="4"/>
      </w:numPr>
      <w:spacing w:line="480" w:lineRule="auto"/>
      <w:jc w:val="both"/>
    </w:pPr>
    <w:rPr>
      <w:rFonts w:ascii="Georgia" w:eastAsiaTheme="minorHAnsi" w:hAnsi="Georgia" w:cstheme="minorBidi"/>
      <w:b/>
      <w:sz w:val="74"/>
      <w:szCs w:val="74"/>
    </w:rPr>
  </w:style>
  <w:style w:type="character" w:customStyle="1" w:styleId="BigBoldGeorgiaChar">
    <w:name w:val="Big Bold Georgia Char"/>
    <w:basedOn w:val="DefaultParagraphFont"/>
    <w:link w:val="BigBoldGeorgia"/>
    <w:rsid w:val="003B37E3"/>
    <w:rPr>
      <w:rFonts w:ascii="Georgia" w:hAnsi="Georgia"/>
      <w:b/>
      <w:sz w:val="74"/>
      <w:szCs w:val="74"/>
    </w:rPr>
  </w:style>
  <w:style w:type="paragraph" w:customStyle="1" w:styleId="NormalMinionBold">
    <w:name w:val="Normal Minion Bold"/>
    <w:basedOn w:val="Normal"/>
    <w:link w:val="NormalMinionBoldChar"/>
    <w:qFormat/>
    <w:rsid w:val="003B37E3"/>
    <w:pPr>
      <w:numPr>
        <w:ilvl w:val="2"/>
        <w:numId w:val="3"/>
      </w:numPr>
      <w:spacing w:line="480" w:lineRule="auto"/>
      <w:jc w:val="both"/>
    </w:pPr>
    <w:rPr>
      <w:rFonts w:ascii="Minion Pro SmBd" w:eastAsiaTheme="minorHAnsi" w:hAnsi="Minion Pro SmBd" w:cstheme="minorBidi"/>
      <w:sz w:val="24"/>
      <w:szCs w:val="24"/>
    </w:rPr>
  </w:style>
  <w:style w:type="character" w:customStyle="1" w:styleId="NormalMinionBoldChar">
    <w:name w:val="Normal Minion Bold Char"/>
    <w:basedOn w:val="DefaultParagraphFont"/>
    <w:link w:val="NormalMinionBold"/>
    <w:rsid w:val="003B37E3"/>
    <w:rPr>
      <w:rFonts w:ascii="Minion Pro SmBd" w:hAnsi="Minion Pro SmBd"/>
    </w:rPr>
  </w:style>
  <w:style w:type="numbering" w:customStyle="1" w:styleId="dissertation2">
    <w:name w:val="dissertation2"/>
    <w:uiPriority w:val="99"/>
    <w:rsid w:val="003B37E3"/>
    <w:pPr>
      <w:numPr>
        <w:numId w:val="1"/>
      </w:numPr>
    </w:pPr>
  </w:style>
  <w:style w:type="paragraph" w:customStyle="1" w:styleId="Paragraph">
    <w:name w:val="Paragraph"/>
    <w:basedOn w:val="Normal"/>
    <w:rsid w:val="007400D5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AppendixHead">
    <w:name w:val="AppendixHead"/>
    <w:basedOn w:val="Normal"/>
    <w:rsid w:val="007400D5"/>
    <w:pPr>
      <w:keepNext/>
      <w:spacing w:before="24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uthors">
    <w:name w:val="Authors"/>
    <w:basedOn w:val="Normal"/>
    <w:rsid w:val="007400D5"/>
    <w:pPr>
      <w:spacing w:before="120" w:after="36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py4wg</dc:creator>
  <cp:lastModifiedBy>py4wg</cp:lastModifiedBy>
  <cp:revision>2</cp:revision>
  <dcterms:created xsi:type="dcterms:W3CDTF">2017-06-27T16:16:00Z</dcterms:created>
  <dcterms:modified xsi:type="dcterms:W3CDTF">2017-06-27T16:28:00Z</dcterms:modified>
</cp:coreProperties>
</file>