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641C" w14:textId="13CF1284" w:rsidR="0035198C" w:rsidRPr="00F729E1" w:rsidRDefault="00F83D2C" w:rsidP="0035198C">
      <w:pPr>
        <w:pStyle w:val="Heading1"/>
        <w:spacing w:line="240" w:lineRule="auto"/>
        <w:rPr>
          <w:rFonts w:asciiTheme="minorBidi" w:hAnsiTheme="minorBidi" w:cstheme="minorBidi"/>
          <w:b/>
          <w:bCs/>
          <w:sz w:val="24"/>
          <w:szCs w:val="24"/>
        </w:rPr>
      </w:pPr>
      <w:r w:rsidRPr="00F729E1">
        <w:rPr>
          <w:rFonts w:asciiTheme="minorBidi" w:hAnsiTheme="minorBidi" w:cstheme="minorBidi"/>
          <w:b/>
          <w:bCs/>
          <w:sz w:val="24"/>
          <w:szCs w:val="24"/>
        </w:rPr>
        <w:t>S</w:t>
      </w:r>
      <w:r w:rsidR="00B0695B" w:rsidRPr="00F729E1">
        <w:rPr>
          <w:rFonts w:asciiTheme="minorBidi" w:hAnsiTheme="minorBidi" w:cstheme="minorBidi"/>
          <w:b/>
          <w:bCs/>
          <w:sz w:val="24"/>
          <w:szCs w:val="24"/>
        </w:rPr>
        <w:t xml:space="preserve">1: Additional information on </w:t>
      </w:r>
      <w:r w:rsidR="003A1896" w:rsidRPr="00F729E1">
        <w:rPr>
          <w:rFonts w:asciiTheme="minorBidi" w:hAnsiTheme="minorBidi" w:cstheme="minorBidi"/>
          <w:b/>
          <w:bCs/>
          <w:sz w:val="24"/>
          <w:szCs w:val="24"/>
        </w:rPr>
        <w:t xml:space="preserve">sampling, </w:t>
      </w:r>
      <w:r w:rsidR="00B0695B" w:rsidRPr="00F729E1">
        <w:rPr>
          <w:rFonts w:asciiTheme="minorBidi" w:hAnsiTheme="minorBidi" w:cstheme="minorBidi"/>
          <w:b/>
          <w:bCs/>
          <w:sz w:val="24"/>
          <w:szCs w:val="24"/>
        </w:rPr>
        <w:t>methods</w:t>
      </w:r>
      <w:r w:rsidR="0012698A" w:rsidRPr="00F729E1">
        <w:rPr>
          <w:rFonts w:asciiTheme="minorBidi" w:hAnsiTheme="minorBidi" w:cstheme="minorBidi"/>
          <w:b/>
          <w:bCs/>
          <w:sz w:val="24"/>
          <w:szCs w:val="24"/>
        </w:rPr>
        <w:t xml:space="preserve">, </w:t>
      </w:r>
      <w:r w:rsidR="003A1896" w:rsidRPr="00F729E1">
        <w:rPr>
          <w:rFonts w:asciiTheme="minorBidi" w:hAnsiTheme="minorBidi" w:cstheme="minorBidi"/>
          <w:b/>
          <w:bCs/>
          <w:sz w:val="24"/>
          <w:szCs w:val="24"/>
        </w:rPr>
        <w:t>and data collection</w:t>
      </w:r>
    </w:p>
    <w:p w14:paraId="0A061385" w14:textId="77777777" w:rsidR="0035198C" w:rsidRPr="00F729E1" w:rsidRDefault="0035198C" w:rsidP="0035198C">
      <w:pPr>
        <w:rPr>
          <w:rFonts w:asciiTheme="minorBidi" w:hAnsiTheme="minorBidi"/>
          <w:sz w:val="24"/>
          <w:szCs w:val="24"/>
        </w:rPr>
      </w:pPr>
    </w:p>
    <w:p w14:paraId="1FCB13C7" w14:textId="19F7846C" w:rsidR="002573C1" w:rsidRPr="00F729E1" w:rsidRDefault="002573C1" w:rsidP="00F83D2C">
      <w:pPr>
        <w:pStyle w:val="Heading2"/>
        <w:spacing w:line="480" w:lineRule="auto"/>
        <w:rPr>
          <w:rFonts w:asciiTheme="minorBidi" w:hAnsiTheme="minorBidi" w:cstheme="minorBidi"/>
          <w:b/>
          <w:bCs/>
          <w:sz w:val="24"/>
          <w:szCs w:val="24"/>
        </w:rPr>
      </w:pPr>
      <w:r w:rsidRPr="00F729E1">
        <w:rPr>
          <w:rFonts w:asciiTheme="minorBidi" w:hAnsiTheme="minorBidi" w:cstheme="minorBidi"/>
          <w:b/>
          <w:bCs/>
          <w:sz w:val="24"/>
          <w:szCs w:val="24"/>
        </w:rPr>
        <w:t xml:space="preserve">Sample </w:t>
      </w:r>
      <w:r w:rsidR="00AB4965" w:rsidRPr="00F729E1">
        <w:rPr>
          <w:rFonts w:asciiTheme="minorBidi" w:hAnsiTheme="minorBidi" w:cstheme="minorBidi"/>
          <w:b/>
          <w:bCs/>
          <w:sz w:val="24"/>
          <w:szCs w:val="24"/>
        </w:rPr>
        <w:t>f</w:t>
      </w:r>
      <w:r w:rsidRPr="00F729E1">
        <w:rPr>
          <w:rFonts w:asciiTheme="minorBidi" w:hAnsiTheme="minorBidi" w:cstheme="minorBidi"/>
          <w:b/>
          <w:bCs/>
          <w:sz w:val="24"/>
          <w:szCs w:val="24"/>
        </w:rPr>
        <w:t xml:space="preserve">rame and </w:t>
      </w:r>
      <w:r w:rsidR="00AB4965" w:rsidRPr="00F729E1">
        <w:rPr>
          <w:rFonts w:asciiTheme="minorBidi" w:hAnsiTheme="minorBidi" w:cstheme="minorBidi"/>
          <w:b/>
          <w:bCs/>
          <w:sz w:val="24"/>
          <w:szCs w:val="24"/>
        </w:rPr>
        <w:t>s</w:t>
      </w:r>
      <w:r w:rsidRPr="00F729E1">
        <w:rPr>
          <w:rFonts w:asciiTheme="minorBidi" w:hAnsiTheme="minorBidi" w:cstheme="minorBidi"/>
          <w:b/>
          <w:bCs/>
          <w:sz w:val="24"/>
          <w:szCs w:val="24"/>
        </w:rPr>
        <w:t>tratification</w:t>
      </w:r>
    </w:p>
    <w:p w14:paraId="4CC27995" w14:textId="7DBCF5B5" w:rsidR="002573C1" w:rsidRPr="00F729E1" w:rsidRDefault="002573C1" w:rsidP="00AB4965">
      <w:pPr>
        <w:spacing w:line="480" w:lineRule="auto"/>
        <w:rPr>
          <w:rFonts w:asciiTheme="minorBidi" w:hAnsiTheme="minorBidi"/>
          <w:sz w:val="24"/>
          <w:szCs w:val="24"/>
        </w:rPr>
      </w:pPr>
      <w:r w:rsidRPr="00F729E1">
        <w:rPr>
          <w:rFonts w:asciiTheme="minorBidi" w:hAnsiTheme="minorBidi"/>
          <w:sz w:val="24"/>
          <w:szCs w:val="24"/>
        </w:rPr>
        <w:t xml:space="preserve">The study team used multiple data sources to construct the sampling frames for each type of provider. For private facilities, </w:t>
      </w:r>
      <w:r w:rsidR="006D6B23" w:rsidRPr="00F729E1">
        <w:rPr>
          <w:rFonts w:asciiTheme="minorBidi" w:hAnsiTheme="minorBidi"/>
          <w:sz w:val="24"/>
          <w:szCs w:val="24"/>
        </w:rPr>
        <w:t>we</w:t>
      </w:r>
      <w:r w:rsidRPr="00F729E1">
        <w:rPr>
          <w:rFonts w:asciiTheme="minorBidi" w:hAnsiTheme="minorBidi"/>
          <w:sz w:val="24"/>
          <w:szCs w:val="24"/>
        </w:rPr>
        <w:t xml:space="preserve"> obtained network facility lists compiled and maintained by SHOPS Plus program staff. For public facilities, the study team first downloaded a list of operational health facilities operating in the same local government areas (LGAs) as SHOPS Plus facilities from the Nigeria Health Facility Registry</w:t>
      </w:r>
      <w:r w:rsidR="00CA7264" w:rsidRPr="00F729E1">
        <w:rPr>
          <w:rFonts w:asciiTheme="minorBidi" w:hAnsiTheme="minorBidi"/>
          <w:sz w:val="24"/>
          <w:szCs w:val="24"/>
        </w:rPr>
        <w:t xml:space="preserve"> (NHFR,</w:t>
      </w:r>
      <w:r w:rsidR="0035198C" w:rsidRPr="00F729E1">
        <w:rPr>
          <w:rFonts w:asciiTheme="minorBidi" w:hAnsiTheme="minorBidi"/>
          <w:sz w:val="24"/>
          <w:szCs w:val="24"/>
        </w:rPr>
        <w:t xml:space="preserve"> </w:t>
      </w:r>
      <w:hyperlink r:id="rId11" w:history="1">
        <w:r w:rsidR="00F82538" w:rsidRPr="00F729E1">
          <w:rPr>
            <w:rStyle w:val="Hyperlink"/>
            <w:rFonts w:asciiTheme="minorBidi" w:hAnsiTheme="minorBidi"/>
            <w:sz w:val="24"/>
            <w:szCs w:val="24"/>
          </w:rPr>
          <w:t>http://hfr.health.gov.ng/facilities/hospitals-list</w:t>
        </w:r>
      </w:hyperlink>
      <w:r w:rsidRPr="00F729E1">
        <w:rPr>
          <w:rFonts w:asciiTheme="minorBidi" w:hAnsiTheme="minorBidi"/>
          <w:sz w:val="24"/>
          <w:szCs w:val="24"/>
        </w:rPr>
        <w:t>). To identify state-designated</w:t>
      </w:r>
      <w:r w:rsidR="00CA7264" w:rsidRPr="00F729E1">
        <w:rPr>
          <w:rFonts w:asciiTheme="minorBidi" w:hAnsiTheme="minorBidi"/>
          <w:sz w:val="24"/>
          <w:szCs w:val="24"/>
        </w:rPr>
        <w:t xml:space="preserve"> facilities offering TB treatment according to</w:t>
      </w:r>
      <w:r w:rsidRPr="00F729E1">
        <w:rPr>
          <w:rFonts w:asciiTheme="minorBidi" w:hAnsiTheme="minorBidi"/>
          <w:sz w:val="24"/>
          <w:szCs w:val="24"/>
        </w:rPr>
        <w:t xml:space="preserve"> </w:t>
      </w:r>
      <w:r w:rsidR="00CA7264" w:rsidRPr="00F729E1">
        <w:rPr>
          <w:rFonts w:asciiTheme="minorBidi" w:hAnsiTheme="minorBidi"/>
          <w:sz w:val="24"/>
          <w:szCs w:val="24"/>
        </w:rPr>
        <w:t>directly-observed treatment short course (</w:t>
      </w:r>
      <w:r w:rsidRPr="00F729E1">
        <w:rPr>
          <w:rFonts w:asciiTheme="minorBidi" w:hAnsiTheme="minorBidi"/>
          <w:sz w:val="24"/>
          <w:szCs w:val="24"/>
        </w:rPr>
        <w:t>DOTS</w:t>
      </w:r>
      <w:r w:rsidR="00CA7264" w:rsidRPr="00F729E1">
        <w:rPr>
          <w:rFonts w:asciiTheme="minorBidi" w:hAnsiTheme="minorBidi"/>
          <w:sz w:val="24"/>
          <w:szCs w:val="24"/>
        </w:rPr>
        <w:t>)</w:t>
      </w:r>
      <w:r w:rsidRPr="00F729E1">
        <w:rPr>
          <w:rFonts w:asciiTheme="minorBidi" w:hAnsiTheme="minorBidi"/>
          <w:sz w:val="24"/>
          <w:szCs w:val="24"/>
        </w:rPr>
        <w:t xml:space="preserve"> </w:t>
      </w:r>
      <w:r w:rsidR="00CA7264" w:rsidRPr="00F729E1">
        <w:rPr>
          <w:rFonts w:asciiTheme="minorBidi" w:hAnsiTheme="minorBidi"/>
          <w:sz w:val="24"/>
          <w:szCs w:val="24"/>
        </w:rPr>
        <w:t xml:space="preserve">protocols, </w:t>
      </w:r>
      <w:r w:rsidRPr="00F729E1">
        <w:rPr>
          <w:rFonts w:asciiTheme="minorBidi" w:hAnsiTheme="minorBidi"/>
          <w:sz w:val="24"/>
          <w:szCs w:val="24"/>
        </w:rPr>
        <w:t xml:space="preserve">the study team cross-referenced the </w:t>
      </w:r>
      <w:r w:rsidR="00CA7264" w:rsidRPr="00F729E1">
        <w:rPr>
          <w:rFonts w:asciiTheme="minorBidi" w:hAnsiTheme="minorBidi"/>
          <w:sz w:val="24"/>
          <w:szCs w:val="24"/>
        </w:rPr>
        <w:t xml:space="preserve">NHFR </w:t>
      </w:r>
      <w:r w:rsidRPr="00F729E1">
        <w:rPr>
          <w:rFonts w:asciiTheme="minorBidi" w:hAnsiTheme="minorBidi"/>
          <w:sz w:val="24"/>
          <w:szCs w:val="24"/>
        </w:rPr>
        <w:t xml:space="preserve">with lists of DOTS facilities directly obtained from and maintained by each state’s </w:t>
      </w:r>
      <w:r w:rsidR="006D6B23" w:rsidRPr="00F729E1">
        <w:rPr>
          <w:rFonts w:asciiTheme="minorBidi" w:hAnsiTheme="minorBidi"/>
          <w:sz w:val="24"/>
          <w:szCs w:val="24"/>
        </w:rPr>
        <w:t>TB control program</w:t>
      </w:r>
      <w:r w:rsidRPr="00F729E1">
        <w:rPr>
          <w:rFonts w:asciiTheme="minorBidi" w:hAnsiTheme="minorBidi"/>
          <w:sz w:val="24"/>
          <w:szCs w:val="24"/>
        </w:rPr>
        <w:t xml:space="preserve">.  Facilities owned and operated by Nigeria’s Federal Ministry of Health, armed forces, or not otherwise accessible to the </w:t>
      </w:r>
      <w:r w:rsidR="006D6B23" w:rsidRPr="00F729E1">
        <w:rPr>
          <w:rFonts w:asciiTheme="minorBidi" w:hAnsiTheme="minorBidi"/>
          <w:sz w:val="24"/>
          <w:szCs w:val="24"/>
        </w:rPr>
        <w:t>public</w:t>
      </w:r>
      <w:r w:rsidRPr="00F729E1">
        <w:rPr>
          <w:rFonts w:asciiTheme="minorBidi" w:hAnsiTheme="minorBidi"/>
          <w:sz w:val="24"/>
          <w:szCs w:val="24"/>
        </w:rPr>
        <w:t xml:space="preserve"> (i.e., publicly-run facilities for students or public servants only) were excluded from the sampling frame.   </w:t>
      </w:r>
    </w:p>
    <w:p w14:paraId="5BBF1D1F" w14:textId="1BCD631C" w:rsidR="002573C1" w:rsidRPr="00F729E1" w:rsidRDefault="006D6B23" w:rsidP="00AB4965">
      <w:pPr>
        <w:spacing w:line="480" w:lineRule="auto"/>
        <w:rPr>
          <w:rFonts w:asciiTheme="minorBidi" w:hAnsiTheme="minorBidi"/>
          <w:sz w:val="24"/>
          <w:szCs w:val="24"/>
        </w:rPr>
      </w:pPr>
      <w:r w:rsidRPr="00F729E1">
        <w:rPr>
          <w:rFonts w:asciiTheme="minorBidi" w:hAnsiTheme="minorBidi"/>
          <w:sz w:val="24"/>
          <w:szCs w:val="24"/>
        </w:rPr>
        <w:t>The</w:t>
      </w:r>
      <w:r w:rsidR="002573C1" w:rsidRPr="00F729E1">
        <w:rPr>
          <w:rFonts w:asciiTheme="minorBidi" w:hAnsiTheme="minorBidi"/>
          <w:sz w:val="24"/>
          <w:szCs w:val="24"/>
        </w:rPr>
        <w:t xml:space="preserve"> sample frame was </w:t>
      </w:r>
      <w:r w:rsidRPr="00F729E1">
        <w:rPr>
          <w:rFonts w:asciiTheme="minorBidi" w:hAnsiTheme="minorBidi"/>
          <w:sz w:val="24"/>
          <w:szCs w:val="24"/>
        </w:rPr>
        <w:t>then</w:t>
      </w:r>
      <w:r w:rsidR="002573C1" w:rsidRPr="00F729E1">
        <w:rPr>
          <w:rFonts w:asciiTheme="minorBidi" w:hAnsiTheme="minorBidi"/>
          <w:sz w:val="24"/>
          <w:szCs w:val="24"/>
        </w:rPr>
        <w:t xml:space="preserve"> grouped into two strata: private facilities in the SHOPS Plus network and public (government</w:t>
      </w:r>
      <w:r w:rsidRPr="00F729E1">
        <w:rPr>
          <w:rFonts w:asciiTheme="minorBidi" w:hAnsiTheme="minorBidi"/>
          <w:sz w:val="24"/>
          <w:szCs w:val="24"/>
        </w:rPr>
        <w:t>-</w:t>
      </w:r>
      <w:r w:rsidR="002573C1" w:rsidRPr="00F729E1">
        <w:rPr>
          <w:rFonts w:asciiTheme="minorBidi" w:hAnsiTheme="minorBidi"/>
          <w:sz w:val="24"/>
          <w:szCs w:val="24"/>
        </w:rPr>
        <w:t xml:space="preserve">owned) facilities. Within these two strata, we further defined substrata based on the type of provider. For public facilities, substrata were based on whether the facility was a designated DOTS provider, although all public facilities—regardless of DOTS status—should </w:t>
      </w:r>
      <w:r w:rsidRPr="00F729E1">
        <w:rPr>
          <w:rFonts w:asciiTheme="minorBidi" w:hAnsiTheme="minorBidi"/>
          <w:sz w:val="24"/>
          <w:szCs w:val="24"/>
        </w:rPr>
        <w:t>have the capacity to screen and facilitate diagnosis of TB</w:t>
      </w:r>
      <w:r w:rsidR="002573C1" w:rsidRPr="00F729E1">
        <w:rPr>
          <w:rFonts w:asciiTheme="minorBidi" w:hAnsiTheme="minorBidi"/>
          <w:sz w:val="24"/>
          <w:szCs w:val="24"/>
        </w:rPr>
        <w:t xml:space="preserve">. These strata and substrata were considered separately for Lagos and Kano. Thus, in total there were 12 strata/substrata groupings (4 substrata for private facilities in the SHOPS Plus network in Kano, 4 substrata for private facilities in the </w:t>
      </w:r>
      <w:r w:rsidR="002573C1" w:rsidRPr="00F729E1">
        <w:rPr>
          <w:rFonts w:asciiTheme="minorBidi" w:hAnsiTheme="minorBidi"/>
          <w:sz w:val="24"/>
          <w:szCs w:val="24"/>
        </w:rPr>
        <w:lastRenderedPageBreak/>
        <w:t xml:space="preserve">SHOPS Plus network in Lagos, 2 substrata for public facilities in Kano, 2 substrata for public facilities in Lagos). </w:t>
      </w:r>
    </w:p>
    <w:p w14:paraId="4DCD1FDA" w14:textId="569697B6" w:rsidR="002573C1" w:rsidRPr="00F729E1" w:rsidRDefault="00AB4965" w:rsidP="00F83D2C">
      <w:pPr>
        <w:pStyle w:val="Heading2"/>
        <w:spacing w:line="480" w:lineRule="auto"/>
        <w:rPr>
          <w:rFonts w:asciiTheme="minorBidi" w:hAnsiTheme="minorBidi" w:cstheme="minorBidi"/>
          <w:b/>
          <w:bCs/>
          <w:sz w:val="24"/>
          <w:szCs w:val="24"/>
        </w:rPr>
      </w:pPr>
      <w:bookmarkStart w:id="0" w:name="_Toc7186432"/>
      <w:r w:rsidRPr="00F729E1">
        <w:rPr>
          <w:rFonts w:asciiTheme="minorBidi" w:hAnsiTheme="minorBidi" w:cstheme="minorBidi"/>
          <w:b/>
          <w:bCs/>
          <w:sz w:val="24"/>
          <w:szCs w:val="24"/>
        </w:rPr>
        <w:t>Sample size and power calculations</w:t>
      </w:r>
      <w:bookmarkEnd w:id="0"/>
    </w:p>
    <w:p w14:paraId="514BD61F" w14:textId="5927F683" w:rsidR="002573C1" w:rsidRPr="00F729E1" w:rsidRDefault="002573C1" w:rsidP="00F83D2C">
      <w:pPr>
        <w:spacing w:line="480" w:lineRule="auto"/>
        <w:jc w:val="both"/>
        <w:rPr>
          <w:rFonts w:asciiTheme="minorBidi" w:hAnsiTheme="minorBidi"/>
          <w:sz w:val="24"/>
          <w:szCs w:val="24"/>
        </w:rPr>
      </w:pPr>
      <w:r w:rsidRPr="00F729E1">
        <w:rPr>
          <w:rFonts w:asciiTheme="minorBidi" w:hAnsiTheme="minorBidi"/>
          <w:sz w:val="24"/>
          <w:szCs w:val="24"/>
        </w:rPr>
        <w:t xml:space="preserve">We used the hypergeometric sample size to determine </w:t>
      </w:r>
      <w:r w:rsidR="006D6B23" w:rsidRPr="00F729E1">
        <w:rPr>
          <w:rFonts w:asciiTheme="minorBidi" w:hAnsiTheme="minorBidi"/>
          <w:sz w:val="24"/>
          <w:szCs w:val="24"/>
        </w:rPr>
        <w:t xml:space="preserve">a representative </w:t>
      </w:r>
      <w:r w:rsidRPr="00F729E1">
        <w:rPr>
          <w:rFonts w:asciiTheme="minorBidi" w:hAnsiTheme="minorBidi"/>
          <w:sz w:val="24"/>
          <w:szCs w:val="24"/>
        </w:rPr>
        <w:t>number of facilities needed:</w:t>
      </w:r>
    </w:p>
    <w:p w14:paraId="65623AA0" w14:textId="77777777" w:rsidR="002573C1" w:rsidRPr="00F729E1" w:rsidRDefault="002573C1" w:rsidP="00F83D2C">
      <w:pPr>
        <w:spacing w:line="480" w:lineRule="auto"/>
        <w:jc w:val="both"/>
        <w:rPr>
          <w:rFonts w:asciiTheme="minorBidi" w:hAnsiTheme="minorBidi"/>
          <w:sz w:val="24"/>
          <w:szCs w:val="24"/>
        </w:rPr>
      </w:pPr>
      <w:r w:rsidRPr="00F729E1">
        <w:rPr>
          <w:rFonts w:ascii="Cambria Math" w:hAnsi="Cambria Math" w:cs="Cambria Math"/>
          <w:sz w:val="24"/>
          <w:szCs w:val="24"/>
        </w:rPr>
        <w:t>𝑛</w:t>
      </w:r>
      <w:r w:rsidRPr="00F729E1">
        <w:rPr>
          <w:rFonts w:asciiTheme="minorBidi" w:hAnsiTheme="minorBidi"/>
          <w:sz w:val="24"/>
          <w:szCs w:val="24"/>
        </w:rPr>
        <w:t xml:space="preserve"> = (</w:t>
      </w:r>
      <w:r w:rsidRPr="00F729E1">
        <w:rPr>
          <w:rFonts w:ascii="Cambria Math" w:hAnsi="Cambria Math" w:cs="Cambria Math"/>
          <w:sz w:val="24"/>
          <w:szCs w:val="24"/>
        </w:rPr>
        <w:t>𝑁𝑧</w:t>
      </w:r>
      <w:r w:rsidRPr="00F729E1">
        <w:rPr>
          <w:rFonts w:asciiTheme="minorBidi" w:hAnsiTheme="minorBidi"/>
          <w:sz w:val="24"/>
          <w:szCs w:val="24"/>
        </w:rPr>
        <w:t xml:space="preserve">^2 </w:t>
      </w:r>
      <w:r w:rsidRPr="00F729E1">
        <w:rPr>
          <w:rFonts w:ascii="Cambria Math" w:hAnsi="Cambria Math" w:cs="Cambria Math"/>
          <w:sz w:val="24"/>
          <w:szCs w:val="24"/>
        </w:rPr>
        <w:t>𝑝𝑞</w:t>
      </w:r>
      <w:r w:rsidRPr="00F729E1">
        <w:rPr>
          <w:rFonts w:asciiTheme="minorBidi" w:hAnsiTheme="minorBidi"/>
          <w:sz w:val="24"/>
          <w:szCs w:val="24"/>
        </w:rPr>
        <w:t>) / ((MOE^2 (</w:t>
      </w:r>
      <w:r w:rsidRPr="00F729E1">
        <w:rPr>
          <w:rFonts w:ascii="Cambria Math" w:hAnsi="Cambria Math" w:cs="Cambria Math"/>
          <w:sz w:val="24"/>
          <w:szCs w:val="24"/>
        </w:rPr>
        <w:t>𝑁</w:t>
      </w:r>
      <w:r w:rsidRPr="00F729E1">
        <w:rPr>
          <w:rFonts w:asciiTheme="minorBidi" w:hAnsiTheme="minorBidi"/>
          <w:sz w:val="24"/>
          <w:szCs w:val="24"/>
        </w:rPr>
        <w:t>−1)+</w:t>
      </w:r>
      <w:r w:rsidRPr="00F729E1">
        <w:rPr>
          <w:rFonts w:ascii="Cambria Math" w:hAnsi="Cambria Math" w:cs="Cambria Math"/>
          <w:sz w:val="24"/>
          <w:szCs w:val="24"/>
        </w:rPr>
        <w:t>𝑧</w:t>
      </w:r>
      <w:r w:rsidRPr="00F729E1">
        <w:rPr>
          <w:rFonts w:asciiTheme="minorBidi" w:hAnsiTheme="minorBidi"/>
          <w:sz w:val="24"/>
          <w:szCs w:val="24"/>
        </w:rPr>
        <w:t xml:space="preserve">^2 </w:t>
      </w:r>
      <w:r w:rsidRPr="00F729E1">
        <w:rPr>
          <w:rFonts w:ascii="Cambria Math" w:hAnsi="Cambria Math" w:cs="Cambria Math"/>
          <w:sz w:val="24"/>
          <w:szCs w:val="24"/>
        </w:rPr>
        <w:t>𝑝𝑞</w:t>
      </w:r>
      <w:r w:rsidRPr="00F729E1">
        <w:rPr>
          <w:rFonts w:asciiTheme="minorBidi" w:hAnsiTheme="minorBidi"/>
          <w:sz w:val="24"/>
          <w:szCs w:val="24"/>
        </w:rPr>
        <w:t>))</w:t>
      </w:r>
    </w:p>
    <w:p w14:paraId="04700464" w14:textId="77777777" w:rsidR="002573C1" w:rsidRPr="00F729E1" w:rsidRDefault="002573C1" w:rsidP="00F83D2C">
      <w:pPr>
        <w:spacing w:line="480" w:lineRule="auto"/>
        <w:jc w:val="both"/>
        <w:rPr>
          <w:rFonts w:asciiTheme="minorBidi" w:hAnsiTheme="minorBidi"/>
          <w:sz w:val="24"/>
          <w:szCs w:val="24"/>
        </w:rPr>
      </w:pPr>
      <w:r w:rsidRPr="00F729E1">
        <w:rPr>
          <w:rFonts w:asciiTheme="minorBidi" w:hAnsiTheme="minorBidi"/>
          <w:sz w:val="24"/>
          <w:szCs w:val="24"/>
        </w:rPr>
        <w:t>Where:</w:t>
      </w:r>
    </w:p>
    <w:p w14:paraId="586511E5" w14:textId="77777777" w:rsidR="002573C1" w:rsidRPr="00F729E1" w:rsidRDefault="002573C1" w:rsidP="00F83D2C">
      <w:pPr>
        <w:spacing w:line="480" w:lineRule="auto"/>
        <w:ind w:left="720"/>
        <w:jc w:val="both"/>
        <w:rPr>
          <w:rFonts w:asciiTheme="minorBidi" w:hAnsiTheme="minorBidi"/>
          <w:sz w:val="24"/>
          <w:szCs w:val="24"/>
        </w:rPr>
      </w:pPr>
      <w:r w:rsidRPr="00F729E1">
        <w:rPr>
          <w:rFonts w:asciiTheme="minorBidi" w:hAnsiTheme="minorBidi"/>
          <w:sz w:val="24"/>
          <w:szCs w:val="24"/>
        </w:rPr>
        <w:t>n is the number of facilities sampled,</w:t>
      </w:r>
    </w:p>
    <w:p w14:paraId="386C666B" w14:textId="77777777" w:rsidR="002573C1" w:rsidRPr="00F729E1" w:rsidRDefault="002573C1" w:rsidP="00F83D2C">
      <w:pPr>
        <w:spacing w:line="480" w:lineRule="auto"/>
        <w:ind w:left="720"/>
        <w:jc w:val="both"/>
        <w:rPr>
          <w:rFonts w:asciiTheme="minorBidi" w:hAnsiTheme="minorBidi"/>
          <w:sz w:val="24"/>
          <w:szCs w:val="24"/>
        </w:rPr>
      </w:pPr>
      <w:r w:rsidRPr="00F729E1">
        <w:rPr>
          <w:rFonts w:asciiTheme="minorBidi" w:hAnsiTheme="minorBidi"/>
          <w:sz w:val="24"/>
          <w:szCs w:val="24"/>
        </w:rPr>
        <w:t>N is the total number of health facilities in a substrata,</w:t>
      </w:r>
    </w:p>
    <w:p w14:paraId="31A1E3C0" w14:textId="77777777" w:rsidR="002573C1" w:rsidRPr="00F729E1" w:rsidRDefault="002573C1" w:rsidP="00F83D2C">
      <w:pPr>
        <w:spacing w:line="480" w:lineRule="auto"/>
        <w:ind w:left="720"/>
        <w:jc w:val="both"/>
        <w:rPr>
          <w:rFonts w:asciiTheme="minorBidi" w:hAnsiTheme="minorBidi"/>
          <w:sz w:val="24"/>
          <w:szCs w:val="24"/>
        </w:rPr>
      </w:pPr>
      <w:r w:rsidRPr="00F729E1">
        <w:rPr>
          <w:rFonts w:asciiTheme="minorBidi" w:hAnsiTheme="minorBidi"/>
          <w:sz w:val="24"/>
          <w:szCs w:val="24"/>
        </w:rPr>
        <w:t>p is the probability of an outcome (e.g., a provider at a health facility follows the appropriate protocol for screening a presumptive TB patient),</w:t>
      </w:r>
    </w:p>
    <w:p w14:paraId="2AAAFE2A" w14:textId="77777777" w:rsidR="002573C1" w:rsidRPr="00F729E1" w:rsidRDefault="002573C1" w:rsidP="00F83D2C">
      <w:pPr>
        <w:spacing w:line="480" w:lineRule="auto"/>
        <w:ind w:left="720"/>
        <w:jc w:val="both"/>
        <w:rPr>
          <w:rFonts w:asciiTheme="minorBidi" w:hAnsiTheme="minorBidi"/>
          <w:sz w:val="24"/>
          <w:szCs w:val="24"/>
        </w:rPr>
      </w:pPr>
      <w:r w:rsidRPr="00F729E1">
        <w:rPr>
          <w:rFonts w:asciiTheme="minorBidi" w:hAnsiTheme="minorBidi"/>
          <w:sz w:val="24"/>
          <w:szCs w:val="24"/>
        </w:rPr>
        <w:t>q = 1 – p,</w:t>
      </w:r>
    </w:p>
    <w:p w14:paraId="7CE55AAF" w14:textId="77777777" w:rsidR="002573C1" w:rsidRPr="00F729E1" w:rsidRDefault="002573C1" w:rsidP="00F83D2C">
      <w:pPr>
        <w:spacing w:line="480" w:lineRule="auto"/>
        <w:ind w:left="720"/>
        <w:jc w:val="both"/>
        <w:rPr>
          <w:rFonts w:asciiTheme="minorBidi" w:hAnsiTheme="minorBidi"/>
          <w:sz w:val="24"/>
          <w:szCs w:val="24"/>
        </w:rPr>
      </w:pPr>
      <w:r w:rsidRPr="00F729E1">
        <w:rPr>
          <w:rFonts w:asciiTheme="minorBidi" w:hAnsiTheme="minorBidi"/>
          <w:sz w:val="24"/>
          <w:szCs w:val="24"/>
        </w:rPr>
        <w:t xml:space="preserve">MOE is the margin of error, and </w:t>
      </w:r>
    </w:p>
    <w:p w14:paraId="05D4EC15" w14:textId="60A40BB0" w:rsidR="002573C1" w:rsidRPr="00F729E1" w:rsidRDefault="002573C1" w:rsidP="00F83D2C">
      <w:pPr>
        <w:spacing w:line="480" w:lineRule="auto"/>
        <w:ind w:left="720"/>
        <w:jc w:val="both"/>
        <w:rPr>
          <w:rFonts w:asciiTheme="minorBidi" w:hAnsiTheme="minorBidi"/>
          <w:sz w:val="24"/>
          <w:szCs w:val="24"/>
        </w:rPr>
      </w:pPr>
      <w:r w:rsidRPr="00F729E1">
        <w:rPr>
          <w:rFonts w:asciiTheme="minorBidi" w:hAnsiTheme="minorBidi"/>
          <w:sz w:val="24"/>
          <w:szCs w:val="24"/>
        </w:rPr>
        <w:t>Z^2 is the confidence level (based on the normal distribution)</w:t>
      </w:r>
      <w:r w:rsidR="006D6B23" w:rsidRPr="00F729E1">
        <w:rPr>
          <w:rFonts w:asciiTheme="minorBidi" w:hAnsiTheme="minorBidi"/>
          <w:sz w:val="24"/>
          <w:szCs w:val="24"/>
        </w:rPr>
        <w:t>.</w:t>
      </w:r>
    </w:p>
    <w:p w14:paraId="54718286" w14:textId="40524151" w:rsidR="002573C1" w:rsidRPr="00F729E1" w:rsidRDefault="002573C1" w:rsidP="00F83D2C">
      <w:pPr>
        <w:spacing w:line="480" w:lineRule="auto"/>
        <w:jc w:val="both"/>
        <w:rPr>
          <w:rFonts w:asciiTheme="minorBidi" w:hAnsiTheme="minorBidi"/>
          <w:sz w:val="24"/>
          <w:szCs w:val="24"/>
        </w:rPr>
      </w:pPr>
      <w:r w:rsidRPr="00F729E1">
        <w:rPr>
          <w:rFonts w:asciiTheme="minorBidi" w:hAnsiTheme="minorBidi"/>
          <w:sz w:val="24"/>
          <w:szCs w:val="24"/>
        </w:rPr>
        <w:t xml:space="preserve">The calculation was run for each substrata to ensure that the sample </w:t>
      </w:r>
      <w:r w:rsidR="006D6B23" w:rsidRPr="00F729E1">
        <w:rPr>
          <w:rFonts w:asciiTheme="minorBidi" w:hAnsiTheme="minorBidi"/>
          <w:sz w:val="24"/>
          <w:szCs w:val="24"/>
        </w:rPr>
        <w:t>was</w:t>
      </w:r>
      <w:r w:rsidRPr="00F729E1">
        <w:rPr>
          <w:rFonts w:asciiTheme="minorBidi" w:hAnsiTheme="minorBidi"/>
          <w:sz w:val="24"/>
          <w:szCs w:val="24"/>
        </w:rPr>
        <w:t xml:space="preserve"> representative at the appropriate statistical level for all substrata. We used a 95% level of confidence (α = 0.05) for all calculations. Resource limitations and programmatic priorities were considered when determining the margin of error (MOE) for each strata. The assumptions employed in the calculations were based on the strata in question:</w:t>
      </w:r>
    </w:p>
    <w:p w14:paraId="21A91E8E" w14:textId="77777777" w:rsidR="002573C1" w:rsidRPr="00F729E1" w:rsidRDefault="002573C1" w:rsidP="00F83D2C">
      <w:pPr>
        <w:pStyle w:val="ListParagraph"/>
        <w:numPr>
          <w:ilvl w:val="0"/>
          <w:numId w:val="2"/>
        </w:numPr>
        <w:spacing w:after="160" w:line="480" w:lineRule="auto"/>
        <w:ind w:left="720"/>
        <w:jc w:val="both"/>
        <w:rPr>
          <w:rFonts w:asciiTheme="minorBidi" w:hAnsiTheme="minorBidi"/>
          <w:sz w:val="24"/>
          <w:szCs w:val="24"/>
        </w:rPr>
      </w:pPr>
      <w:r w:rsidRPr="00F729E1">
        <w:rPr>
          <w:rFonts w:asciiTheme="minorBidi" w:hAnsiTheme="minorBidi"/>
          <w:sz w:val="24"/>
          <w:szCs w:val="24"/>
        </w:rPr>
        <w:lastRenderedPageBreak/>
        <w:t>For private facilities in the SHOPS Plus network, we assumed p = 0.5 (to maximize the variance and thus have the largest potential sample size given other assumptions), and the MOE is ±5%.</w:t>
      </w:r>
    </w:p>
    <w:p w14:paraId="7005F930" w14:textId="780E5452" w:rsidR="002573C1" w:rsidRPr="00F729E1" w:rsidRDefault="002573C1" w:rsidP="00F83D2C">
      <w:pPr>
        <w:pStyle w:val="ListParagraph"/>
        <w:numPr>
          <w:ilvl w:val="0"/>
          <w:numId w:val="2"/>
        </w:numPr>
        <w:spacing w:after="160" w:line="480" w:lineRule="auto"/>
        <w:ind w:left="720"/>
        <w:jc w:val="both"/>
        <w:rPr>
          <w:rFonts w:asciiTheme="minorBidi" w:hAnsiTheme="minorBidi"/>
          <w:sz w:val="24"/>
          <w:szCs w:val="24"/>
        </w:rPr>
      </w:pPr>
      <w:r w:rsidRPr="00F729E1">
        <w:rPr>
          <w:rFonts w:asciiTheme="minorBidi" w:hAnsiTheme="minorBidi"/>
          <w:sz w:val="24"/>
          <w:szCs w:val="24"/>
        </w:rPr>
        <w:t xml:space="preserve">For public facilities, we assumed p = 0.5 (to maximize the variance and thus have the </w:t>
      </w:r>
      <w:r w:rsidR="00AB4965" w:rsidRPr="00F729E1">
        <w:rPr>
          <w:rFonts w:asciiTheme="minorBidi" w:hAnsiTheme="minorBidi"/>
          <w:sz w:val="24"/>
          <w:szCs w:val="24"/>
        </w:rPr>
        <w:t xml:space="preserve">largest potential sample size given other assumptions), and the </w:t>
      </w:r>
      <w:r w:rsidR="003301FF" w:rsidRPr="00F729E1">
        <w:rPr>
          <w:rFonts w:asciiTheme="minorBidi" w:hAnsiTheme="minorBidi"/>
          <w:sz w:val="24"/>
          <w:szCs w:val="24"/>
        </w:rPr>
        <w:t xml:space="preserve">MOE </w:t>
      </w:r>
      <w:r w:rsidR="00AB4965" w:rsidRPr="00F729E1">
        <w:rPr>
          <w:rFonts w:asciiTheme="minorBidi" w:hAnsiTheme="minorBidi"/>
          <w:sz w:val="24"/>
          <w:szCs w:val="24"/>
        </w:rPr>
        <w:t xml:space="preserve">is ±10%. </w:t>
      </w:r>
    </w:p>
    <w:p w14:paraId="30358AD8" w14:textId="7F016974" w:rsidR="002573C1" w:rsidRPr="00F729E1" w:rsidRDefault="00AB4965" w:rsidP="00F83D2C">
      <w:pPr>
        <w:pStyle w:val="Heading2"/>
        <w:spacing w:line="480" w:lineRule="auto"/>
        <w:rPr>
          <w:rFonts w:asciiTheme="minorBidi" w:hAnsiTheme="minorBidi" w:cstheme="minorBidi"/>
          <w:b/>
          <w:bCs/>
          <w:sz w:val="24"/>
          <w:szCs w:val="24"/>
        </w:rPr>
      </w:pPr>
      <w:r w:rsidRPr="00F729E1">
        <w:rPr>
          <w:rFonts w:asciiTheme="minorBidi" w:hAnsiTheme="minorBidi" w:cstheme="minorBidi"/>
          <w:b/>
          <w:bCs/>
          <w:sz w:val="24"/>
          <w:szCs w:val="24"/>
        </w:rPr>
        <w:t>Sample selection and verification</w:t>
      </w:r>
    </w:p>
    <w:p w14:paraId="111C433C" w14:textId="62ACAFFA" w:rsidR="002573C1" w:rsidRPr="00F729E1" w:rsidRDefault="002573C1" w:rsidP="00F83D2C">
      <w:pPr>
        <w:spacing w:line="480" w:lineRule="auto"/>
        <w:jc w:val="both"/>
        <w:rPr>
          <w:rFonts w:asciiTheme="minorBidi" w:hAnsiTheme="minorBidi"/>
          <w:sz w:val="24"/>
          <w:szCs w:val="24"/>
        </w:rPr>
      </w:pPr>
      <w:r w:rsidRPr="00F729E1">
        <w:rPr>
          <w:rFonts w:asciiTheme="minorBidi" w:hAnsiTheme="minorBidi"/>
          <w:sz w:val="24"/>
          <w:szCs w:val="24"/>
        </w:rPr>
        <w:t>Following sample size calculation</w:t>
      </w:r>
      <w:r w:rsidR="006D6B23" w:rsidRPr="00F729E1">
        <w:rPr>
          <w:rFonts w:asciiTheme="minorBidi" w:hAnsiTheme="minorBidi"/>
          <w:sz w:val="24"/>
          <w:szCs w:val="24"/>
        </w:rPr>
        <w:t>s,</w:t>
      </w:r>
      <w:r w:rsidRPr="00F729E1">
        <w:rPr>
          <w:rFonts w:asciiTheme="minorBidi" w:hAnsiTheme="minorBidi"/>
          <w:sz w:val="24"/>
          <w:szCs w:val="24"/>
        </w:rPr>
        <w:t xml:space="preserve"> facilities were selected at random within each substratum. </w:t>
      </w:r>
    </w:p>
    <w:p w14:paraId="044C0235" w14:textId="15E7F08D" w:rsidR="002573C1" w:rsidRPr="00F729E1" w:rsidRDefault="002573C1" w:rsidP="00F83D2C">
      <w:pPr>
        <w:pStyle w:val="ListParagraph"/>
        <w:numPr>
          <w:ilvl w:val="0"/>
          <w:numId w:val="3"/>
        </w:numPr>
        <w:spacing w:after="160" w:line="480" w:lineRule="auto"/>
        <w:ind w:left="324"/>
        <w:rPr>
          <w:rFonts w:asciiTheme="minorBidi" w:hAnsiTheme="minorBidi"/>
          <w:sz w:val="24"/>
          <w:szCs w:val="24"/>
        </w:rPr>
      </w:pPr>
      <w:r w:rsidRPr="00F729E1">
        <w:rPr>
          <w:rFonts w:asciiTheme="minorBidi" w:hAnsiTheme="minorBidi"/>
          <w:sz w:val="24"/>
          <w:szCs w:val="24"/>
        </w:rPr>
        <w:t>Each facility in the sampling frame was first assigned a random number (Sample_Num) between 0 and 1 using Excel’s =Rand() function. These random numbers were then sorted smallest to largest</w:t>
      </w:r>
      <w:r w:rsidR="006D6B23" w:rsidRPr="00F729E1">
        <w:rPr>
          <w:rFonts w:asciiTheme="minorBidi" w:hAnsiTheme="minorBidi"/>
          <w:sz w:val="24"/>
          <w:szCs w:val="24"/>
        </w:rPr>
        <w:t>.</w:t>
      </w:r>
    </w:p>
    <w:p w14:paraId="72FD6193" w14:textId="05C7D042" w:rsidR="002573C1" w:rsidRPr="00F729E1" w:rsidRDefault="002573C1" w:rsidP="00F83D2C">
      <w:pPr>
        <w:pStyle w:val="ListParagraph"/>
        <w:numPr>
          <w:ilvl w:val="0"/>
          <w:numId w:val="3"/>
        </w:numPr>
        <w:spacing w:after="0" w:line="480" w:lineRule="auto"/>
        <w:ind w:left="324"/>
        <w:rPr>
          <w:rFonts w:asciiTheme="minorBidi" w:hAnsiTheme="minorBidi"/>
          <w:sz w:val="24"/>
          <w:szCs w:val="24"/>
        </w:rPr>
      </w:pPr>
      <w:r w:rsidRPr="00F729E1">
        <w:rPr>
          <w:rFonts w:asciiTheme="minorBidi" w:hAnsiTheme="minorBidi"/>
          <w:sz w:val="24"/>
          <w:szCs w:val="24"/>
        </w:rPr>
        <w:t xml:space="preserve">A second sample number (Sample_Num2), </w:t>
      </w:r>
      <w:r w:rsidR="006D6B23" w:rsidRPr="00F729E1">
        <w:rPr>
          <w:rFonts w:asciiTheme="minorBidi" w:hAnsiTheme="minorBidi"/>
          <w:sz w:val="24"/>
          <w:szCs w:val="24"/>
        </w:rPr>
        <w:t xml:space="preserve">was </w:t>
      </w:r>
      <w:r w:rsidRPr="00F729E1">
        <w:rPr>
          <w:rFonts w:asciiTheme="minorBidi" w:hAnsiTheme="minorBidi"/>
          <w:sz w:val="24"/>
          <w:szCs w:val="24"/>
        </w:rPr>
        <w:t>created and assigned to facilities in the sampling frame. The facility with the lowest random number is assigned a 1; the facility with the largest random number is assigned N (maximum number of records in the sampling frame). (e.g.</w:t>
      </w:r>
      <w:r w:rsidR="006D6B23" w:rsidRPr="00F729E1">
        <w:rPr>
          <w:rFonts w:asciiTheme="minorBidi" w:hAnsiTheme="minorBidi"/>
          <w:sz w:val="24"/>
          <w:szCs w:val="24"/>
        </w:rPr>
        <w:t>,</w:t>
      </w:r>
      <w:r w:rsidRPr="00F729E1">
        <w:rPr>
          <w:rFonts w:asciiTheme="minorBidi" w:hAnsiTheme="minorBidi"/>
          <w:sz w:val="24"/>
          <w:szCs w:val="24"/>
        </w:rPr>
        <w:t xml:space="preserve"> in a sampling frame of 50 facilities, records would be numbered 1 to 50). </w:t>
      </w:r>
    </w:p>
    <w:p w14:paraId="7D9538B0" w14:textId="77777777" w:rsidR="002573C1" w:rsidRPr="00F729E1" w:rsidRDefault="002573C1" w:rsidP="00F83D2C">
      <w:pPr>
        <w:pStyle w:val="ListParagraph"/>
        <w:numPr>
          <w:ilvl w:val="0"/>
          <w:numId w:val="3"/>
        </w:numPr>
        <w:spacing w:after="0" w:line="480" w:lineRule="auto"/>
        <w:ind w:left="324"/>
        <w:rPr>
          <w:rFonts w:asciiTheme="minorBidi" w:hAnsiTheme="minorBidi"/>
          <w:sz w:val="24"/>
          <w:szCs w:val="24"/>
        </w:rPr>
      </w:pPr>
      <w:r w:rsidRPr="00F729E1">
        <w:rPr>
          <w:rFonts w:asciiTheme="minorBidi" w:hAnsiTheme="minorBidi"/>
          <w:sz w:val="24"/>
          <w:szCs w:val="24"/>
        </w:rPr>
        <w:t>For each sampling frame, facilities 1 to X are assigned as the primary sample, with X as the maximum number of facilities calculated for a given strata.</w:t>
      </w:r>
    </w:p>
    <w:p w14:paraId="60ACB48B" w14:textId="3485DED9" w:rsidR="002573C1" w:rsidRPr="00F729E1" w:rsidRDefault="002573C1" w:rsidP="00F83D2C">
      <w:pPr>
        <w:pStyle w:val="ListParagraph"/>
        <w:numPr>
          <w:ilvl w:val="0"/>
          <w:numId w:val="3"/>
        </w:numPr>
        <w:spacing w:after="0" w:line="480" w:lineRule="auto"/>
        <w:ind w:left="324"/>
        <w:rPr>
          <w:rFonts w:asciiTheme="minorBidi" w:hAnsiTheme="minorBidi"/>
          <w:sz w:val="24"/>
          <w:szCs w:val="24"/>
        </w:rPr>
      </w:pPr>
      <w:r w:rsidRPr="00F729E1">
        <w:rPr>
          <w:rFonts w:asciiTheme="minorBidi" w:hAnsiTheme="minorBidi"/>
          <w:sz w:val="24"/>
          <w:szCs w:val="24"/>
        </w:rPr>
        <w:t xml:space="preserve">For each sampling frame, facilities with sample numbers </w:t>
      </w:r>
      <w:r w:rsidR="006D6B23" w:rsidRPr="00F729E1">
        <w:rPr>
          <w:rFonts w:asciiTheme="minorBidi" w:hAnsiTheme="minorBidi"/>
          <w:sz w:val="24"/>
          <w:szCs w:val="24"/>
        </w:rPr>
        <w:t>that exceed the sample threshold were</w:t>
      </w:r>
      <w:r w:rsidRPr="00F729E1">
        <w:rPr>
          <w:rFonts w:asciiTheme="minorBidi" w:hAnsiTheme="minorBidi"/>
          <w:sz w:val="24"/>
          <w:szCs w:val="24"/>
        </w:rPr>
        <w:t xml:space="preserve"> assigned as a back-up sample. If there </w:t>
      </w:r>
      <w:r w:rsidR="006D6B23" w:rsidRPr="00F729E1">
        <w:rPr>
          <w:rFonts w:asciiTheme="minorBidi" w:hAnsiTheme="minorBidi"/>
          <w:sz w:val="24"/>
          <w:szCs w:val="24"/>
        </w:rPr>
        <w:t>were</w:t>
      </w:r>
      <w:r w:rsidRPr="00F729E1">
        <w:rPr>
          <w:rFonts w:asciiTheme="minorBidi" w:hAnsiTheme="minorBidi"/>
          <w:sz w:val="24"/>
          <w:szCs w:val="24"/>
        </w:rPr>
        <w:t xml:space="preserve"> enough facilities in the sampling frame, the back-up sample </w:t>
      </w:r>
      <w:r w:rsidR="006D6B23" w:rsidRPr="00F729E1">
        <w:rPr>
          <w:rFonts w:asciiTheme="minorBidi" w:hAnsiTheme="minorBidi"/>
          <w:sz w:val="24"/>
          <w:szCs w:val="24"/>
        </w:rPr>
        <w:t xml:space="preserve">was </w:t>
      </w:r>
      <w:r w:rsidRPr="00F729E1">
        <w:rPr>
          <w:rFonts w:asciiTheme="minorBidi" w:hAnsiTheme="minorBidi"/>
          <w:sz w:val="24"/>
          <w:szCs w:val="24"/>
        </w:rPr>
        <w:t>the same size as the primary sample.</w:t>
      </w:r>
      <w:r w:rsidR="008A4BFC" w:rsidRPr="00F729E1">
        <w:rPr>
          <w:rFonts w:asciiTheme="minorBidi" w:hAnsiTheme="minorBidi"/>
          <w:sz w:val="24"/>
          <w:szCs w:val="24"/>
        </w:rPr>
        <w:t xml:space="preserve"> </w:t>
      </w:r>
    </w:p>
    <w:p w14:paraId="5C971508" w14:textId="03C3DA88" w:rsidR="002573C1" w:rsidRPr="00F729E1" w:rsidRDefault="002573C1" w:rsidP="00F83D2C">
      <w:pPr>
        <w:spacing w:line="480" w:lineRule="auto"/>
        <w:rPr>
          <w:rFonts w:asciiTheme="minorBidi" w:hAnsiTheme="minorBidi"/>
          <w:sz w:val="24"/>
          <w:szCs w:val="24"/>
        </w:rPr>
      </w:pPr>
      <w:r w:rsidRPr="00F729E1">
        <w:rPr>
          <w:rFonts w:asciiTheme="minorBidi" w:hAnsiTheme="minorBidi"/>
          <w:sz w:val="24"/>
          <w:szCs w:val="24"/>
        </w:rPr>
        <w:t>Prior to data collection, data collectors conducted a verification exercise on</w:t>
      </w:r>
      <w:r w:rsidR="006D6B23" w:rsidRPr="00F729E1">
        <w:rPr>
          <w:rFonts w:asciiTheme="minorBidi" w:hAnsiTheme="minorBidi"/>
          <w:sz w:val="24"/>
          <w:szCs w:val="24"/>
        </w:rPr>
        <w:t xml:space="preserve"> the</w:t>
      </w:r>
      <w:r w:rsidRPr="00F729E1">
        <w:rPr>
          <w:rFonts w:asciiTheme="minorBidi" w:hAnsiTheme="minorBidi"/>
          <w:sz w:val="24"/>
          <w:szCs w:val="24"/>
        </w:rPr>
        <w:t xml:space="preserve"> sampled facilities to confirm each facility’s location and operational status</w:t>
      </w:r>
      <w:r w:rsidR="008A4BFC" w:rsidRPr="00F729E1">
        <w:rPr>
          <w:rFonts w:asciiTheme="minorBidi" w:hAnsiTheme="minorBidi"/>
          <w:sz w:val="24"/>
          <w:szCs w:val="24"/>
        </w:rPr>
        <w:t xml:space="preserve">, which is essentially to </w:t>
      </w:r>
      <w:r w:rsidR="008A4BFC" w:rsidRPr="00F729E1">
        <w:rPr>
          <w:rFonts w:asciiTheme="minorBidi" w:hAnsiTheme="minorBidi"/>
          <w:sz w:val="24"/>
          <w:szCs w:val="24"/>
        </w:rPr>
        <w:lastRenderedPageBreak/>
        <w:t>ensure standardized patients (SPs) could approach facilities inconspicuously</w:t>
      </w:r>
      <w:r w:rsidRPr="00F729E1">
        <w:rPr>
          <w:rFonts w:asciiTheme="minorBidi" w:hAnsiTheme="minorBidi"/>
          <w:sz w:val="24"/>
          <w:szCs w:val="24"/>
        </w:rPr>
        <w:t xml:space="preserve">. </w:t>
      </w:r>
      <w:r w:rsidRPr="00F729E1">
        <w:rPr>
          <w:rFonts w:asciiTheme="minorBidi" w:eastAsia="Times" w:hAnsiTheme="minorBidi"/>
          <w:sz w:val="24"/>
          <w:szCs w:val="24"/>
          <w:lang w:eastAsia="fr-FR"/>
        </w:rPr>
        <w:t>A total of 869 facilities were verified in</w:t>
      </w:r>
      <w:r w:rsidRPr="00F729E1">
        <w:rPr>
          <w:rFonts w:asciiTheme="minorBidi" w:hAnsiTheme="minorBidi"/>
          <w:sz w:val="24"/>
          <w:szCs w:val="24"/>
        </w:rPr>
        <w:t xml:space="preserve"> Lagos and 548 facilities were verified in in Kano. </w:t>
      </w:r>
      <w:r w:rsidR="006D6B23" w:rsidRPr="00F729E1">
        <w:rPr>
          <w:rFonts w:asciiTheme="minorBidi" w:hAnsiTheme="minorBidi"/>
          <w:sz w:val="24"/>
          <w:szCs w:val="24"/>
        </w:rPr>
        <w:t>If a facility’s location was unable to be verified</w:t>
      </w:r>
      <w:r w:rsidR="008A4BFC" w:rsidRPr="00F729E1">
        <w:rPr>
          <w:rFonts w:asciiTheme="minorBidi" w:hAnsiTheme="minorBidi"/>
          <w:sz w:val="24"/>
          <w:szCs w:val="24"/>
        </w:rPr>
        <w:t>, a replacement facility from the back-up sample was randomly selected and verified.  The total number of f</w:t>
      </w:r>
      <w:r w:rsidRPr="00F729E1">
        <w:rPr>
          <w:rFonts w:asciiTheme="minorBidi" w:hAnsiTheme="minorBidi"/>
          <w:sz w:val="24"/>
          <w:szCs w:val="24"/>
        </w:rPr>
        <w:t>acilities</w:t>
      </w:r>
      <w:r w:rsidR="008A4BFC" w:rsidRPr="00F729E1">
        <w:rPr>
          <w:rFonts w:asciiTheme="minorBidi" w:hAnsiTheme="minorBidi"/>
          <w:sz w:val="24"/>
          <w:szCs w:val="24"/>
        </w:rPr>
        <w:t xml:space="preserve"> </w:t>
      </w:r>
      <w:r w:rsidRPr="00F729E1">
        <w:rPr>
          <w:rFonts w:asciiTheme="minorBidi" w:hAnsiTheme="minorBidi"/>
          <w:sz w:val="24"/>
          <w:szCs w:val="24"/>
        </w:rPr>
        <w:t xml:space="preserve">verified </w:t>
      </w:r>
      <w:r w:rsidR="008A4BFC" w:rsidRPr="00F729E1">
        <w:rPr>
          <w:rFonts w:asciiTheme="minorBidi" w:hAnsiTheme="minorBidi"/>
          <w:sz w:val="24"/>
          <w:szCs w:val="24"/>
        </w:rPr>
        <w:t>exceeded the s</w:t>
      </w:r>
      <w:r w:rsidRPr="00F729E1">
        <w:rPr>
          <w:rFonts w:asciiTheme="minorBidi" w:hAnsiTheme="minorBidi"/>
          <w:sz w:val="24"/>
          <w:szCs w:val="24"/>
        </w:rPr>
        <w:t xml:space="preserve">urvey sample to </w:t>
      </w:r>
      <w:r w:rsidR="008A4BFC" w:rsidRPr="00F729E1">
        <w:rPr>
          <w:rFonts w:asciiTheme="minorBidi" w:hAnsiTheme="minorBidi"/>
          <w:sz w:val="24"/>
          <w:szCs w:val="24"/>
        </w:rPr>
        <w:t>ensure there</w:t>
      </w:r>
      <w:r w:rsidRPr="00F729E1">
        <w:rPr>
          <w:rFonts w:asciiTheme="minorBidi" w:hAnsiTheme="minorBidi"/>
          <w:sz w:val="24"/>
          <w:szCs w:val="24"/>
        </w:rPr>
        <w:t xml:space="preserve"> enough facilities to conduct dry runs and pilot testing.</w:t>
      </w:r>
    </w:p>
    <w:p w14:paraId="2B0EBA43" w14:textId="6AAAB0D5" w:rsidR="002573C1" w:rsidRPr="00F729E1" w:rsidRDefault="00AB4965" w:rsidP="00F83D2C">
      <w:pPr>
        <w:pStyle w:val="Heading2"/>
        <w:spacing w:line="480" w:lineRule="auto"/>
        <w:rPr>
          <w:rFonts w:asciiTheme="minorBidi" w:hAnsiTheme="minorBidi" w:cstheme="minorBidi"/>
          <w:b/>
          <w:bCs/>
          <w:sz w:val="24"/>
          <w:szCs w:val="24"/>
        </w:rPr>
      </w:pPr>
      <w:r w:rsidRPr="00F729E1">
        <w:rPr>
          <w:rFonts w:asciiTheme="minorBidi" w:hAnsiTheme="minorBidi" w:cstheme="minorBidi"/>
          <w:b/>
          <w:bCs/>
          <w:sz w:val="24"/>
          <w:szCs w:val="24"/>
        </w:rPr>
        <w:t>Defining criteria for correct management of SPs</w:t>
      </w:r>
    </w:p>
    <w:p w14:paraId="6F0C5475" w14:textId="7A5589C0" w:rsidR="002573C1" w:rsidRPr="00F729E1" w:rsidRDefault="002573C1" w:rsidP="00F83D2C">
      <w:pPr>
        <w:autoSpaceDE w:val="0"/>
        <w:autoSpaceDN w:val="0"/>
        <w:adjustRightInd w:val="0"/>
        <w:spacing w:after="240" w:line="480" w:lineRule="auto"/>
        <w:rPr>
          <w:rFonts w:asciiTheme="minorBidi" w:hAnsiTheme="minorBidi"/>
          <w:sz w:val="24"/>
          <w:szCs w:val="24"/>
        </w:rPr>
      </w:pPr>
      <w:r w:rsidRPr="00F729E1">
        <w:rPr>
          <w:rFonts w:asciiTheme="minorBidi" w:hAnsiTheme="minorBidi"/>
          <w:sz w:val="24"/>
          <w:szCs w:val="24"/>
        </w:rPr>
        <w:t xml:space="preserve">The criteria for “correct management” were determined by referencing national and international guidelines for management of presumptive TB </w:t>
      </w:r>
      <w:r w:rsidR="008A4BFC" w:rsidRPr="00F729E1">
        <w:rPr>
          <w:rFonts w:asciiTheme="minorBidi" w:hAnsiTheme="minorBidi"/>
          <w:sz w:val="24"/>
          <w:szCs w:val="24"/>
        </w:rPr>
        <w:t>patients and</w:t>
      </w:r>
      <w:r w:rsidRPr="00F729E1">
        <w:rPr>
          <w:rFonts w:asciiTheme="minorBidi" w:hAnsiTheme="minorBidi"/>
          <w:sz w:val="24"/>
          <w:szCs w:val="24"/>
        </w:rPr>
        <w:t xml:space="preserve"> </w:t>
      </w:r>
      <w:r w:rsidR="008A4BFC" w:rsidRPr="00F729E1">
        <w:rPr>
          <w:rFonts w:asciiTheme="minorBidi" w:hAnsiTheme="minorBidi"/>
          <w:sz w:val="24"/>
          <w:szCs w:val="24"/>
        </w:rPr>
        <w:t>accounting for the</w:t>
      </w:r>
      <w:r w:rsidRPr="00F729E1">
        <w:rPr>
          <w:rFonts w:asciiTheme="minorBidi" w:hAnsiTheme="minorBidi"/>
          <w:sz w:val="24"/>
          <w:szCs w:val="24"/>
        </w:rPr>
        <w:t xml:space="preserve"> way in which the SHOPS Plus TB program was implemented (</w:t>
      </w:r>
      <w:r w:rsidR="001829B6" w:rsidRPr="00F729E1">
        <w:rPr>
          <w:rFonts w:asciiTheme="minorBidi" w:hAnsiTheme="minorBidi"/>
          <w:sz w:val="24"/>
          <w:szCs w:val="24"/>
        </w:rPr>
        <w:t>i.e.,</w:t>
      </w:r>
      <w:r w:rsidRPr="00F729E1">
        <w:rPr>
          <w:rFonts w:asciiTheme="minorBidi" w:hAnsiTheme="minorBidi"/>
          <w:sz w:val="24"/>
          <w:szCs w:val="24"/>
        </w:rPr>
        <w:t xml:space="preserve"> what providers were being trained and told to do). We also </w:t>
      </w:r>
      <w:r w:rsidR="008A4BFC" w:rsidRPr="00F729E1">
        <w:rPr>
          <w:rFonts w:asciiTheme="minorBidi" w:hAnsiTheme="minorBidi"/>
          <w:sz w:val="24"/>
          <w:szCs w:val="24"/>
        </w:rPr>
        <w:t>considered</w:t>
      </w:r>
      <w:r w:rsidRPr="00F729E1">
        <w:rPr>
          <w:rFonts w:asciiTheme="minorBidi" w:hAnsiTheme="minorBidi"/>
          <w:sz w:val="24"/>
          <w:szCs w:val="24"/>
        </w:rPr>
        <w:t xml:space="preserve"> thresholds set by other, similarly-designed SP studies implemented in other contexts.</w:t>
      </w:r>
      <w:r w:rsidR="0092659B" w:rsidRPr="00F729E1">
        <w:rPr>
          <w:rFonts w:asciiTheme="minorBidi" w:hAnsiTheme="minorBidi"/>
          <w:sz w:val="24"/>
          <w:szCs w:val="24"/>
        </w:rPr>
        <w:t>[1-6]</w:t>
      </w:r>
      <w:r w:rsidRPr="00F729E1">
        <w:rPr>
          <w:rFonts w:asciiTheme="minorBidi" w:hAnsiTheme="minorBidi"/>
          <w:sz w:val="24"/>
          <w:szCs w:val="24"/>
        </w:rPr>
        <w:t xml:space="preserve">  In all cases, TB studies have defined the “correct” threshold leniently (</w:t>
      </w:r>
      <w:r w:rsidR="001829B6" w:rsidRPr="00F729E1">
        <w:rPr>
          <w:rFonts w:asciiTheme="minorBidi" w:hAnsiTheme="minorBidi"/>
          <w:sz w:val="24"/>
          <w:szCs w:val="24"/>
        </w:rPr>
        <w:t>i.e.,</w:t>
      </w:r>
      <w:r w:rsidRPr="00F729E1">
        <w:rPr>
          <w:rFonts w:asciiTheme="minorBidi" w:hAnsiTheme="minorBidi"/>
          <w:sz w:val="24"/>
          <w:szCs w:val="24"/>
        </w:rPr>
        <w:t xml:space="preserve"> rather than having to incorporate ALL elements of ideal TB screening, providers just </w:t>
      </w:r>
      <w:r w:rsidR="001829B6" w:rsidRPr="00F729E1">
        <w:rPr>
          <w:rFonts w:asciiTheme="minorBidi" w:hAnsiTheme="minorBidi"/>
          <w:sz w:val="24"/>
          <w:szCs w:val="24"/>
        </w:rPr>
        <w:t>must</w:t>
      </w:r>
      <w:r w:rsidRPr="00F729E1">
        <w:rPr>
          <w:rFonts w:asciiTheme="minorBidi" w:hAnsiTheme="minorBidi"/>
          <w:sz w:val="24"/>
          <w:szCs w:val="24"/>
        </w:rPr>
        <w:t xml:space="preserve"> meet the most important ones). We did the same in our study as well.</w:t>
      </w:r>
    </w:p>
    <w:p w14:paraId="47110E94" w14:textId="772D19FF" w:rsidR="002573C1" w:rsidRPr="00F729E1" w:rsidRDefault="00AB4965" w:rsidP="00F83D2C">
      <w:pPr>
        <w:pStyle w:val="Heading3"/>
        <w:spacing w:line="480" w:lineRule="auto"/>
        <w:rPr>
          <w:rFonts w:asciiTheme="minorBidi" w:hAnsiTheme="minorBidi" w:cstheme="minorBidi"/>
          <w:b/>
          <w:bCs/>
        </w:rPr>
      </w:pPr>
      <w:r w:rsidRPr="00F729E1">
        <w:rPr>
          <w:rFonts w:asciiTheme="minorBidi" w:hAnsiTheme="minorBidi" w:cstheme="minorBidi"/>
          <w:b/>
          <w:bCs/>
        </w:rPr>
        <w:t>Correct management for Case 1 - presumptive case scenario</w:t>
      </w:r>
    </w:p>
    <w:p w14:paraId="74692A31" w14:textId="10533BD0" w:rsidR="002573C1" w:rsidRPr="00F729E1" w:rsidRDefault="002573C1" w:rsidP="00F83D2C">
      <w:pPr>
        <w:spacing w:line="480" w:lineRule="auto"/>
        <w:rPr>
          <w:rFonts w:asciiTheme="minorBidi" w:hAnsiTheme="minorBidi"/>
          <w:sz w:val="24"/>
          <w:szCs w:val="24"/>
        </w:rPr>
      </w:pPr>
      <w:r w:rsidRPr="00F729E1">
        <w:rPr>
          <w:rFonts w:asciiTheme="minorBidi" w:hAnsiTheme="minorBidi"/>
          <w:sz w:val="24"/>
          <w:szCs w:val="24"/>
        </w:rPr>
        <w:t xml:space="preserve">According to </w:t>
      </w:r>
      <w:r w:rsidR="008A4BFC" w:rsidRPr="00F729E1">
        <w:rPr>
          <w:rFonts w:asciiTheme="minorBidi" w:hAnsiTheme="minorBidi"/>
          <w:sz w:val="24"/>
          <w:szCs w:val="24"/>
        </w:rPr>
        <w:t>Nigeria’s National TB and Leprosy Control Program (</w:t>
      </w:r>
      <w:r w:rsidRPr="00F729E1">
        <w:rPr>
          <w:rFonts w:asciiTheme="minorBidi" w:hAnsiTheme="minorBidi"/>
          <w:sz w:val="24"/>
          <w:szCs w:val="24"/>
        </w:rPr>
        <w:t>NTBLCP</w:t>
      </w:r>
      <w:r w:rsidR="008A4BFC" w:rsidRPr="00F729E1">
        <w:rPr>
          <w:rFonts w:asciiTheme="minorBidi" w:hAnsiTheme="minorBidi"/>
          <w:sz w:val="24"/>
          <w:szCs w:val="24"/>
        </w:rPr>
        <w:t>)</w:t>
      </w:r>
      <w:r w:rsidRPr="00F729E1">
        <w:rPr>
          <w:rFonts w:asciiTheme="minorBidi" w:hAnsiTheme="minorBidi"/>
          <w:sz w:val="24"/>
          <w:szCs w:val="24"/>
        </w:rPr>
        <w:t xml:space="preserve"> 2015 guidelines, the main symptom of presumptive pulmonary TB is a productive cough of two weeks, and may include shortness of breath, chest pain, or coughing up blood. Additional symptoms include fever, loss of appetite, weight loss, night sweats, and malaise/tiredness. Because these guidelines (as well as WHO guidelines) are unclear about whether providers must ask about all symptoms </w:t>
      </w:r>
      <w:r w:rsidR="00995CF4" w:rsidRPr="00F729E1">
        <w:rPr>
          <w:rFonts w:asciiTheme="minorBidi" w:hAnsiTheme="minorBidi"/>
          <w:sz w:val="24"/>
          <w:szCs w:val="24"/>
        </w:rPr>
        <w:t>to</w:t>
      </w:r>
      <w:r w:rsidRPr="00F729E1">
        <w:rPr>
          <w:rFonts w:asciiTheme="minorBidi" w:hAnsiTheme="minorBidi"/>
          <w:sz w:val="24"/>
          <w:szCs w:val="24"/>
        </w:rPr>
        <w:t xml:space="preserve"> screen we have chosen to set the correct threshold to include inquiry of the “main” TB symptoms specified by the </w:t>
      </w:r>
      <w:r w:rsidRPr="00F729E1">
        <w:rPr>
          <w:rFonts w:asciiTheme="minorBidi" w:hAnsiTheme="minorBidi"/>
          <w:sz w:val="24"/>
          <w:szCs w:val="24"/>
        </w:rPr>
        <w:lastRenderedPageBreak/>
        <w:t>guidelines. We applied the</w:t>
      </w:r>
      <w:r w:rsidR="008A4BFC" w:rsidRPr="00F729E1">
        <w:rPr>
          <w:rFonts w:asciiTheme="minorBidi" w:hAnsiTheme="minorBidi"/>
          <w:sz w:val="24"/>
          <w:szCs w:val="24"/>
        </w:rPr>
        <w:t xml:space="preserve"> NTBLCP’s</w:t>
      </w:r>
      <w:r w:rsidRPr="00F729E1">
        <w:rPr>
          <w:rFonts w:asciiTheme="minorBidi" w:hAnsiTheme="minorBidi"/>
          <w:sz w:val="24"/>
          <w:szCs w:val="24"/>
        </w:rPr>
        <w:t xml:space="preserve"> 2015 guidelines because these were the reference guidelines in use at the time SHOPS Plus providers were trained in 2018. The criteria for “correct management” for non-clinical cadre</w:t>
      </w:r>
      <w:r w:rsidR="008A4BFC" w:rsidRPr="00F729E1">
        <w:rPr>
          <w:rFonts w:asciiTheme="minorBidi" w:hAnsiTheme="minorBidi"/>
          <w:sz w:val="24"/>
          <w:szCs w:val="24"/>
        </w:rPr>
        <w:t>s</w:t>
      </w:r>
      <w:r w:rsidRPr="00F729E1">
        <w:rPr>
          <w:rFonts w:asciiTheme="minorBidi" w:hAnsiTheme="minorBidi"/>
          <w:sz w:val="24"/>
          <w:szCs w:val="24"/>
        </w:rPr>
        <w:t xml:space="preserve"> (</w:t>
      </w:r>
      <w:r w:rsidR="002D4A75" w:rsidRPr="00F729E1">
        <w:rPr>
          <w:rFonts w:asciiTheme="minorBidi" w:hAnsiTheme="minorBidi"/>
          <w:sz w:val="24"/>
          <w:szCs w:val="24"/>
        </w:rPr>
        <w:t>i.e.,</w:t>
      </w:r>
      <w:r w:rsidRPr="00F729E1">
        <w:rPr>
          <w:rFonts w:asciiTheme="minorBidi" w:hAnsiTheme="minorBidi"/>
          <w:sz w:val="24"/>
          <w:szCs w:val="24"/>
        </w:rPr>
        <w:t xml:space="preserve"> </w:t>
      </w:r>
      <w:r w:rsidR="005F5D6E" w:rsidRPr="00F729E1">
        <w:rPr>
          <w:rFonts w:asciiTheme="minorBidi" w:hAnsiTheme="minorBidi"/>
          <w:sz w:val="24"/>
          <w:szCs w:val="24"/>
        </w:rPr>
        <w:t>drug shops</w:t>
      </w:r>
      <w:r w:rsidR="00F729E1" w:rsidRPr="00F729E1">
        <w:rPr>
          <w:rFonts w:asciiTheme="minorBidi" w:hAnsiTheme="minorBidi"/>
          <w:sz w:val="24"/>
          <w:szCs w:val="24"/>
        </w:rPr>
        <w:t>,</w:t>
      </w:r>
      <w:r w:rsidRPr="00F729E1">
        <w:rPr>
          <w:rFonts w:asciiTheme="minorBidi" w:hAnsiTheme="minorBidi"/>
          <w:sz w:val="24"/>
          <w:szCs w:val="24"/>
        </w:rPr>
        <w:t xml:space="preserve"> </w:t>
      </w:r>
      <w:r w:rsidR="008A4BFC" w:rsidRPr="00F729E1">
        <w:rPr>
          <w:rFonts w:asciiTheme="minorBidi" w:hAnsiTheme="minorBidi"/>
          <w:sz w:val="24"/>
          <w:szCs w:val="24"/>
        </w:rPr>
        <w:t>pharmacies</w:t>
      </w:r>
      <w:r w:rsidR="005F5D6E" w:rsidRPr="00F729E1">
        <w:rPr>
          <w:rFonts w:asciiTheme="minorBidi" w:hAnsiTheme="minorBidi"/>
          <w:sz w:val="24"/>
          <w:szCs w:val="24"/>
        </w:rPr>
        <w:t xml:space="preserve">, </w:t>
      </w:r>
      <w:r w:rsidRPr="00F729E1">
        <w:rPr>
          <w:rFonts w:asciiTheme="minorBidi" w:hAnsiTheme="minorBidi"/>
          <w:sz w:val="24"/>
          <w:szCs w:val="24"/>
        </w:rPr>
        <w:t>and</w:t>
      </w:r>
      <w:r w:rsidR="008A4BFC" w:rsidRPr="00F729E1">
        <w:rPr>
          <w:rFonts w:asciiTheme="minorBidi" w:hAnsiTheme="minorBidi"/>
          <w:sz w:val="24"/>
          <w:szCs w:val="24"/>
        </w:rPr>
        <w:t xml:space="preserve"> private</w:t>
      </w:r>
      <w:r w:rsidRPr="00F729E1">
        <w:rPr>
          <w:rFonts w:asciiTheme="minorBidi" w:hAnsiTheme="minorBidi"/>
          <w:sz w:val="24"/>
          <w:szCs w:val="24"/>
        </w:rPr>
        <w:t xml:space="preserve"> stand-alone labs) for this </w:t>
      </w:r>
      <w:r w:rsidR="002D4A75" w:rsidRPr="00F729E1">
        <w:rPr>
          <w:rFonts w:asciiTheme="minorBidi" w:hAnsiTheme="minorBidi"/>
          <w:sz w:val="24"/>
          <w:szCs w:val="24"/>
        </w:rPr>
        <w:t xml:space="preserve">case </w:t>
      </w:r>
      <w:r w:rsidRPr="00F729E1">
        <w:rPr>
          <w:rFonts w:asciiTheme="minorBidi" w:hAnsiTheme="minorBidi"/>
          <w:sz w:val="24"/>
          <w:szCs w:val="24"/>
        </w:rPr>
        <w:t xml:space="preserve">were </w:t>
      </w:r>
      <w:r w:rsidR="002D4A75" w:rsidRPr="00F729E1">
        <w:rPr>
          <w:rFonts w:asciiTheme="minorBidi" w:hAnsiTheme="minorBidi"/>
          <w:sz w:val="24"/>
          <w:szCs w:val="24"/>
        </w:rPr>
        <w:t>like</w:t>
      </w:r>
      <w:r w:rsidRPr="00F729E1">
        <w:rPr>
          <w:rFonts w:asciiTheme="minorBidi" w:hAnsiTheme="minorBidi"/>
          <w:sz w:val="24"/>
          <w:szCs w:val="24"/>
        </w:rPr>
        <w:t xml:space="preserve"> those for clinical providers. The exception is that there is a lower threshold for screening. </w:t>
      </w:r>
    </w:p>
    <w:p w14:paraId="01847F42" w14:textId="5917CA59" w:rsidR="002573C1" w:rsidRPr="00F729E1" w:rsidRDefault="002573C1" w:rsidP="00F83D2C">
      <w:pPr>
        <w:spacing w:line="480" w:lineRule="auto"/>
        <w:rPr>
          <w:rFonts w:asciiTheme="minorBidi" w:hAnsiTheme="minorBidi"/>
          <w:sz w:val="24"/>
          <w:szCs w:val="24"/>
        </w:rPr>
      </w:pPr>
      <w:r w:rsidRPr="00F729E1">
        <w:rPr>
          <w:rFonts w:asciiTheme="minorBidi" w:hAnsiTheme="minorBidi"/>
          <w:sz w:val="24"/>
          <w:szCs w:val="24"/>
        </w:rPr>
        <w:t xml:space="preserve">The reason for this </w:t>
      </w:r>
      <w:r w:rsidR="00C96140" w:rsidRPr="00F729E1">
        <w:rPr>
          <w:rFonts w:asciiTheme="minorBidi" w:hAnsiTheme="minorBidi"/>
          <w:sz w:val="24"/>
          <w:szCs w:val="24"/>
        </w:rPr>
        <w:t xml:space="preserve">lower threshold </w:t>
      </w:r>
      <w:r w:rsidRPr="00F729E1">
        <w:rPr>
          <w:rFonts w:asciiTheme="minorBidi" w:hAnsiTheme="minorBidi"/>
          <w:sz w:val="24"/>
          <w:szCs w:val="24"/>
        </w:rPr>
        <w:t>is that shortly after implementation of the SHOPS Plus program began in 2018, it became evident that that non-clinical cadre did not show as much willingness and/or skill to screen as thoroughly for TB as clinical providers.  Since all presumptive patients are re-screened and tested by clinical providers before they ever commence TB treatment</w:t>
      </w:r>
      <w:r w:rsidR="00A855FB" w:rsidRPr="00F729E1">
        <w:rPr>
          <w:rFonts w:asciiTheme="minorBidi" w:hAnsiTheme="minorBidi"/>
          <w:sz w:val="24"/>
          <w:szCs w:val="24"/>
        </w:rPr>
        <w:t>,</w:t>
      </w:r>
      <w:r w:rsidRPr="00F729E1">
        <w:rPr>
          <w:rFonts w:asciiTheme="minorBidi" w:hAnsiTheme="minorBidi"/>
          <w:sz w:val="24"/>
          <w:szCs w:val="24"/>
        </w:rPr>
        <w:t xml:space="preserve"> the program determined that it was not necessary for non-clinical cadre to screen to the same extent as clinical providers, and that screening could be simplified to one question only: </w:t>
      </w:r>
      <w:r w:rsidR="00995CF4" w:rsidRPr="00F729E1">
        <w:rPr>
          <w:rFonts w:asciiTheme="minorBidi" w:hAnsiTheme="minorBidi"/>
          <w:sz w:val="24"/>
          <w:szCs w:val="24"/>
        </w:rPr>
        <w:t>whether</w:t>
      </w:r>
      <w:r w:rsidRPr="00F729E1">
        <w:rPr>
          <w:rFonts w:asciiTheme="minorBidi" w:hAnsiTheme="minorBidi"/>
          <w:sz w:val="24"/>
          <w:szCs w:val="24"/>
        </w:rPr>
        <w:t xml:space="preserve"> patients had been coughing for two weeks or longer.</w:t>
      </w:r>
    </w:p>
    <w:p w14:paraId="5312B85A" w14:textId="35705EF0" w:rsidR="002573C1" w:rsidRPr="00F729E1" w:rsidRDefault="002573C1" w:rsidP="00F83D2C">
      <w:pPr>
        <w:spacing w:line="480" w:lineRule="auto"/>
        <w:rPr>
          <w:rFonts w:asciiTheme="minorBidi" w:hAnsiTheme="minorBidi"/>
          <w:sz w:val="24"/>
          <w:szCs w:val="24"/>
        </w:rPr>
      </w:pPr>
      <w:r w:rsidRPr="00F729E1">
        <w:rPr>
          <w:rFonts w:asciiTheme="minorBidi" w:hAnsiTheme="minorBidi"/>
          <w:sz w:val="24"/>
          <w:szCs w:val="24"/>
        </w:rPr>
        <w:t xml:space="preserve">To be considered </w:t>
      </w:r>
      <w:r w:rsidR="008A4BFC" w:rsidRPr="00F729E1">
        <w:rPr>
          <w:rFonts w:asciiTheme="minorBidi" w:hAnsiTheme="minorBidi"/>
          <w:sz w:val="24"/>
          <w:szCs w:val="24"/>
        </w:rPr>
        <w:t xml:space="preserve">to have </w:t>
      </w:r>
      <w:r w:rsidRPr="00F729E1">
        <w:rPr>
          <w:rFonts w:asciiTheme="minorBidi" w:hAnsiTheme="minorBidi"/>
          <w:sz w:val="24"/>
          <w:szCs w:val="24"/>
        </w:rPr>
        <w:t>correct</w:t>
      </w:r>
      <w:r w:rsidR="008A4BFC" w:rsidRPr="00F729E1">
        <w:rPr>
          <w:rFonts w:asciiTheme="minorBidi" w:hAnsiTheme="minorBidi"/>
          <w:sz w:val="24"/>
          <w:szCs w:val="24"/>
        </w:rPr>
        <w:t>ly managed a SP,</w:t>
      </w:r>
      <w:r w:rsidRPr="00F729E1">
        <w:rPr>
          <w:rFonts w:asciiTheme="minorBidi" w:hAnsiTheme="minorBidi"/>
          <w:sz w:val="24"/>
          <w:szCs w:val="24"/>
        </w:rPr>
        <w:t xml:space="preserve"> providers needed to have also recommended</w:t>
      </w:r>
      <w:r w:rsidR="008A4BFC" w:rsidRPr="00F729E1">
        <w:rPr>
          <w:rFonts w:asciiTheme="minorBidi" w:hAnsiTheme="minorBidi"/>
          <w:sz w:val="24"/>
          <w:szCs w:val="24"/>
        </w:rPr>
        <w:t xml:space="preserve"> or </w:t>
      </w:r>
      <w:r w:rsidRPr="00F729E1">
        <w:rPr>
          <w:rFonts w:asciiTheme="minorBidi" w:hAnsiTheme="minorBidi"/>
          <w:sz w:val="24"/>
          <w:szCs w:val="24"/>
        </w:rPr>
        <w:t xml:space="preserve">attempted to take an appropriate diagnostic (an x-ray, or a sputum sample for GeneXpert or </w:t>
      </w:r>
      <w:r w:rsidR="008A4BFC" w:rsidRPr="00F729E1">
        <w:rPr>
          <w:rFonts w:asciiTheme="minorBidi" w:hAnsiTheme="minorBidi"/>
          <w:sz w:val="24"/>
          <w:szCs w:val="24"/>
        </w:rPr>
        <w:t>acid-fast bacilli (AFB) testing</w:t>
      </w:r>
      <w:r w:rsidRPr="00F729E1">
        <w:rPr>
          <w:rFonts w:asciiTheme="minorBidi" w:hAnsiTheme="minorBidi"/>
          <w:sz w:val="24"/>
          <w:szCs w:val="24"/>
        </w:rPr>
        <w:t>) or specifically told the SP that they needed a sputum test or x-ray and would need to go elsewhere for this test (</w:t>
      </w:r>
      <w:r w:rsidR="00A855FB" w:rsidRPr="00F729E1">
        <w:rPr>
          <w:rFonts w:asciiTheme="minorBidi" w:hAnsiTheme="minorBidi"/>
          <w:sz w:val="24"/>
          <w:szCs w:val="24"/>
        </w:rPr>
        <w:t>i.e.,</w:t>
      </w:r>
      <w:r w:rsidRPr="00F729E1">
        <w:rPr>
          <w:rFonts w:asciiTheme="minorBidi" w:hAnsiTheme="minorBidi"/>
          <w:sz w:val="24"/>
          <w:szCs w:val="24"/>
        </w:rPr>
        <w:t xml:space="preserve"> a referral).</w:t>
      </w:r>
    </w:p>
    <w:p w14:paraId="10374970" w14:textId="6F0D7A26" w:rsidR="002573C1" w:rsidRPr="00F729E1" w:rsidRDefault="002573C1" w:rsidP="00F83D2C">
      <w:pPr>
        <w:spacing w:line="480" w:lineRule="auto"/>
        <w:rPr>
          <w:rFonts w:asciiTheme="minorBidi" w:hAnsiTheme="minorBidi"/>
          <w:sz w:val="24"/>
          <w:szCs w:val="24"/>
        </w:rPr>
      </w:pPr>
      <w:r w:rsidRPr="00F729E1">
        <w:rPr>
          <w:rFonts w:asciiTheme="minorBidi" w:hAnsiTheme="minorBidi"/>
          <w:sz w:val="24"/>
          <w:szCs w:val="24"/>
        </w:rPr>
        <w:t xml:space="preserve">In addition to appropriate screening and recommendations for appropriate diagnostics, providers would have also needed to refrain from prescribing </w:t>
      </w:r>
      <w:r w:rsidR="008A4BFC" w:rsidRPr="00F729E1">
        <w:rPr>
          <w:rFonts w:asciiTheme="minorBidi" w:hAnsiTheme="minorBidi"/>
          <w:sz w:val="24"/>
          <w:szCs w:val="24"/>
        </w:rPr>
        <w:t>any broad- or narrow-</w:t>
      </w:r>
      <w:r w:rsidR="00CA7264" w:rsidRPr="00F729E1">
        <w:rPr>
          <w:rFonts w:asciiTheme="minorBidi" w:hAnsiTheme="minorBidi"/>
          <w:sz w:val="24"/>
          <w:szCs w:val="24"/>
        </w:rPr>
        <w:t xml:space="preserve">spectrum </w:t>
      </w:r>
      <w:r w:rsidRPr="00F729E1">
        <w:rPr>
          <w:rFonts w:asciiTheme="minorBidi" w:hAnsiTheme="minorBidi"/>
          <w:sz w:val="24"/>
          <w:szCs w:val="24"/>
        </w:rPr>
        <w:t>antibiotics (including anti-TB drugs</w:t>
      </w:r>
      <w:r w:rsidR="008A4BFC" w:rsidRPr="00F729E1">
        <w:rPr>
          <w:rFonts w:asciiTheme="minorBidi" w:hAnsiTheme="minorBidi"/>
          <w:sz w:val="24"/>
          <w:szCs w:val="24"/>
        </w:rPr>
        <w:t xml:space="preserve"> and </w:t>
      </w:r>
      <w:r w:rsidRPr="00F729E1">
        <w:rPr>
          <w:rFonts w:asciiTheme="minorBidi" w:hAnsiTheme="minorBidi"/>
          <w:sz w:val="24"/>
          <w:szCs w:val="24"/>
        </w:rPr>
        <w:t>fluoroquinolones) and steroids.  These medicines can either mask the symptoms of TB, are unnecessary, or inappropriate to dispense in absence of a confirmed TB diagnosis.</w:t>
      </w:r>
    </w:p>
    <w:p w14:paraId="34090C7A" w14:textId="7FC52748" w:rsidR="002573C1" w:rsidRPr="00F729E1" w:rsidRDefault="002573C1" w:rsidP="00F83D2C">
      <w:pPr>
        <w:pStyle w:val="Heading3"/>
        <w:spacing w:line="480" w:lineRule="auto"/>
        <w:rPr>
          <w:rFonts w:asciiTheme="minorBidi" w:hAnsiTheme="minorBidi" w:cstheme="minorBidi"/>
          <w:b/>
          <w:bCs/>
        </w:rPr>
      </w:pPr>
      <w:r w:rsidRPr="00F729E1">
        <w:rPr>
          <w:rFonts w:asciiTheme="minorBidi" w:hAnsiTheme="minorBidi" w:cstheme="minorBidi"/>
          <w:b/>
          <w:bCs/>
        </w:rPr>
        <w:lastRenderedPageBreak/>
        <w:t xml:space="preserve">Correct </w:t>
      </w:r>
      <w:r w:rsidR="0035198C" w:rsidRPr="00F729E1">
        <w:rPr>
          <w:rFonts w:asciiTheme="minorBidi" w:hAnsiTheme="minorBidi" w:cstheme="minorBidi"/>
          <w:b/>
          <w:bCs/>
        </w:rPr>
        <w:t>m</w:t>
      </w:r>
      <w:r w:rsidRPr="00F729E1">
        <w:rPr>
          <w:rFonts w:asciiTheme="minorBidi" w:hAnsiTheme="minorBidi" w:cstheme="minorBidi"/>
          <w:b/>
          <w:bCs/>
        </w:rPr>
        <w:t xml:space="preserve">anagement for </w:t>
      </w:r>
      <w:r w:rsidR="004C318B" w:rsidRPr="00F729E1">
        <w:rPr>
          <w:rFonts w:asciiTheme="minorBidi" w:hAnsiTheme="minorBidi" w:cstheme="minorBidi"/>
          <w:b/>
          <w:bCs/>
        </w:rPr>
        <w:t xml:space="preserve">Case 2 </w:t>
      </w:r>
      <w:r w:rsidR="0035198C" w:rsidRPr="00F729E1">
        <w:rPr>
          <w:rFonts w:asciiTheme="minorBidi" w:hAnsiTheme="minorBidi" w:cstheme="minorBidi"/>
          <w:b/>
          <w:bCs/>
        </w:rPr>
        <w:t>–</w:t>
      </w:r>
      <w:r w:rsidR="004C318B" w:rsidRPr="00F729E1">
        <w:rPr>
          <w:rFonts w:asciiTheme="minorBidi" w:hAnsiTheme="minorBidi" w:cstheme="minorBidi"/>
          <w:b/>
          <w:bCs/>
        </w:rPr>
        <w:t xml:space="preserve"> </w:t>
      </w:r>
      <w:r w:rsidR="0035198C" w:rsidRPr="00F729E1">
        <w:rPr>
          <w:rFonts w:asciiTheme="minorBidi" w:hAnsiTheme="minorBidi" w:cstheme="minorBidi"/>
          <w:b/>
          <w:bCs/>
        </w:rPr>
        <w:t xml:space="preserve">treatment initiation scenario </w:t>
      </w:r>
    </w:p>
    <w:p w14:paraId="5A308666" w14:textId="5FE65211" w:rsidR="002573C1" w:rsidRPr="00F729E1" w:rsidRDefault="002573C1" w:rsidP="00F83D2C">
      <w:pPr>
        <w:tabs>
          <w:tab w:val="num" w:pos="1440"/>
        </w:tabs>
        <w:spacing w:line="480" w:lineRule="auto"/>
        <w:rPr>
          <w:rFonts w:asciiTheme="minorBidi" w:hAnsiTheme="minorBidi"/>
          <w:sz w:val="24"/>
          <w:szCs w:val="24"/>
        </w:rPr>
      </w:pPr>
      <w:r w:rsidRPr="00F729E1">
        <w:rPr>
          <w:rFonts w:asciiTheme="minorBidi" w:hAnsiTheme="minorBidi"/>
          <w:sz w:val="24"/>
          <w:szCs w:val="24"/>
        </w:rPr>
        <w:t xml:space="preserve">As with </w:t>
      </w:r>
      <w:r w:rsidR="00D46DFB" w:rsidRPr="00F729E1">
        <w:rPr>
          <w:rFonts w:asciiTheme="minorBidi" w:hAnsiTheme="minorBidi"/>
          <w:sz w:val="24"/>
          <w:szCs w:val="24"/>
        </w:rPr>
        <w:t>Case 1</w:t>
      </w:r>
      <w:r w:rsidRPr="00F729E1">
        <w:rPr>
          <w:rFonts w:asciiTheme="minorBidi" w:hAnsiTheme="minorBidi"/>
          <w:sz w:val="24"/>
          <w:szCs w:val="24"/>
        </w:rPr>
        <w:t xml:space="preserve">, the criteria for “correct management” were determined by referencing </w:t>
      </w:r>
      <w:r w:rsidR="00CA7264" w:rsidRPr="00F729E1">
        <w:rPr>
          <w:rFonts w:asciiTheme="minorBidi" w:hAnsiTheme="minorBidi"/>
          <w:sz w:val="24"/>
          <w:szCs w:val="24"/>
        </w:rPr>
        <w:t>NTBLCP</w:t>
      </w:r>
      <w:r w:rsidRPr="00F729E1">
        <w:rPr>
          <w:rFonts w:asciiTheme="minorBidi" w:hAnsiTheme="minorBidi"/>
          <w:sz w:val="24"/>
          <w:szCs w:val="24"/>
        </w:rPr>
        <w:t xml:space="preserve"> and international guidelines for counseling and initiating treatment on confirmed TB patients, consulting with clinical providers familiar with counseling and treatment of TB </w:t>
      </w:r>
      <w:r w:rsidR="004420DD" w:rsidRPr="00F729E1">
        <w:rPr>
          <w:rFonts w:asciiTheme="minorBidi" w:hAnsiTheme="minorBidi"/>
          <w:sz w:val="24"/>
          <w:szCs w:val="24"/>
        </w:rPr>
        <w:t>patients, and</w:t>
      </w:r>
      <w:r w:rsidRPr="00F729E1">
        <w:rPr>
          <w:rFonts w:asciiTheme="minorBidi" w:hAnsiTheme="minorBidi"/>
          <w:sz w:val="24"/>
          <w:szCs w:val="24"/>
        </w:rPr>
        <w:t xml:space="preserve"> </w:t>
      </w:r>
      <w:r w:rsidR="004420DD" w:rsidRPr="00F729E1">
        <w:rPr>
          <w:rFonts w:asciiTheme="minorBidi" w:hAnsiTheme="minorBidi"/>
          <w:sz w:val="24"/>
          <w:szCs w:val="24"/>
        </w:rPr>
        <w:t>considering</w:t>
      </w:r>
      <w:r w:rsidRPr="00F729E1">
        <w:rPr>
          <w:rFonts w:asciiTheme="minorBidi" w:hAnsiTheme="minorBidi"/>
          <w:sz w:val="24"/>
          <w:szCs w:val="24"/>
        </w:rPr>
        <w:t xml:space="preserve"> what SPs were instructed to do in their roles in this </w:t>
      </w:r>
      <w:r w:rsidR="00D8173C" w:rsidRPr="00F729E1">
        <w:rPr>
          <w:rFonts w:asciiTheme="minorBidi" w:hAnsiTheme="minorBidi"/>
          <w:sz w:val="24"/>
          <w:szCs w:val="24"/>
        </w:rPr>
        <w:t>case</w:t>
      </w:r>
      <w:r w:rsidRPr="00F729E1">
        <w:rPr>
          <w:rFonts w:asciiTheme="minorBidi" w:hAnsiTheme="minorBidi"/>
          <w:sz w:val="24"/>
          <w:szCs w:val="24"/>
        </w:rPr>
        <w:t xml:space="preserve">. For example, in </w:t>
      </w:r>
      <w:r w:rsidR="00D46DFB" w:rsidRPr="00F729E1">
        <w:rPr>
          <w:rFonts w:asciiTheme="minorBidi" w:hAnsiTheme="minorBidi"/>
          <w:sz w:val="24"/>
          <w:szCs w:val="24"/>
        </w:rPr>
        <w:t xml:space="preserve">Case 2 </w:t>
      </w:r>
      <w:r w:rsidRPr="00F729E1">
        <w:rPr>
          <w:rFonts w:asciiTheme="minorBidi" w:hAnsiTheme="minorBidi"/>
          <w:sz w:val="24"/>
          <w:szCs w:val="24"/>
        </w:rPr>
        <w:t>SPs brought a GeneXpert result into the clinical facility with them indicating they were positive for DS-TB and negative for HIV.  Although it is typically recommended that providers confirm positive patients’ HIV status, we d</w:t>
      </w:r>
      <w:r w:rsidR="00CA7264" w:rsidRPr="00F729E1">
        <w:rPr>
          <w:rFonts w:asciiTheme="minorBidi" w:hAnsiTheme="minorBidi"/>
          <w:sz w:val="24"/>
          <w:szCs w:val="24"/>
        </w:rPr>
        <w:t>id</w:t>
      </w:r>
      <w:r w:rsidRPr="00F729E1">
        <w:rPr>
          <w:rFonts w:asciiTheme="minorBidi" w:hAnsiTheme="minorBidi"/>
          <w:sz w:val="24"/>
          <w:szCs w:val="24"/>
        </w:rPr>
        <w:t xml:space="preserve"> not include it as a criteria for correct management, since it is reasonable that a provider may choose not to insist on HIV confirmation upon seeing the HIV status on the GeneXpert report. </w:t>
      </w:r>
      <w:r w:rsidR="00D8173C" w:rsidRPr="00F729E1">
        <w:rPr>
          <w:rFonts w:asciiTheme="minorBidi" w:hAnsiTheme="minorBidi"/>
          <w:sz w:val="24"/>
          <w:szCs w:val="24"/>
        </w:rPr>
        <w:t>Overall,</w:t>
      </w:r>
      <w:r w:rsidRPr="00F729E1">
        <w:rPr>
          <w:rFonts w:asciiTheme="minorBidi" w:hAnsiTheme="minorBidi"/>
          <w:sz w:val="24"/>
          <w:szCs w:val="24"/>
        </w:rPr>
        <w:t xml:space="preserve"> we defined five different </w:t>
      </w:r>
      <w:r w:rsidR="00601BBB" w:rsidRPr="00F729E1">
        <w:rPr>
          <w:rFonts w:asciiTheme="minorBidi" w:hAnsiTheme="minorBidi"/>
          <w:sz w:val="24"/>
          <w:szCs w:val="24"/>
        </w:rPr>
        <w:t xml:space="preserve">criteria </w:t>
      </w:r>
      <w:r w:rsidR="001829B6" w:rsidRPr="00F729E1">
        <w:rPr>
          <w:rFonts w:asciiTheme="minorBidi" w:hAnsiTheme="minorBidi"/>
          <w:sz w:val="24"/>
          <w:szCs w:val="24"/>
        </w:rPr>
        <w:t>elements</w:t>
      </w:r>
      <w:r w:rsidRPr="00F729E1">
        <w:rPr>
          <w:rFonts w:asciiTheme="minorBidi" w:hAnsiTheme="minorBidi"/>
          <w:sz w:val="24"/>
          <w:szCs w:val="24"/>
        </w:rPr>
        <w:t xml:space="preserve"> for providers to demonstrate “correct” treatment initiation.  </w:t>
      </w:r>
    </w:p>
    <w:p w14:paraId="12A0EE58" w14:textId="6F1F4429" w:rsidR="002573C1" w:rsidRPr="00F729E1" w:rsidRDefault="002573C1" w:rsidP="00F83D2C">
      <w:pPr>
        <w:tabs>
          <w:tab w:val="num" w:pos="1440"/>
        </w:tabs>
        <w:spacing w:line="480" w:lineRule="auto"/>
        <w:rPr>
          <w:rFonts w:asciiTheme="minorBidi" w:hAnsiTheme="minorBidi"/>
          <w:sz w:val="24"/>
          <w:szCs w:val="24"/>
        </w:rPr>
      </w:pPr>
      <w:r w:rsidRPr="00F729E1">
        <w:rPr>
          <w:rFonts w:asciiTheme="minorBidi" w:hAnsiTheme="minorBidi"/>
          <w:sz w:val="24"/>
          <w:szCs w:val="24"/>
        </w:rPr>
        <w:t>First</w:t>
      </w:r>
      <w:r w:rsidR="00CA7264" w:rsidRPr="00F729E1">
        <w:rPr>
          <w:rFonts w:asciiTheme="minorBidi" w:hAnsiTheme="minorBidi"/>
          <w:sz w:val="24"/>
          <w:szCs w:val="24"/>
        </w:rPr>
        <w:t>,</w:t>
      </w:r>
      <w:r w:rsidRPr="00F729E1">
        <w:rPr>
          <w:rFonts w:asciiTheme="minorBidi" w:hAnsiTheme="minorBidi"/>
          <w:sz w:val="24"/>
          <w:szCs w:val="24"/>
        </w:rPr>
        <w:t xml:space="preserve"> providers needed to confirm the SP</w:t>
      </w:r>
      <w:r w:rsidR="00CA7264" w:rsidRPr="00F729E1">
        <w:rPr>
          <w:rFonts w:asciiTheme="minorBidi" w:hAnsiTheme="minorBidi"/>
          <w:sz w:val="24"/>
          <w:szCs w:val="24"/>
        </w:rPr>
        <w:t>’s</w:t>
      </w:r>
      <w:r w:rsidRPr="00F729E1">
        <w:rPr>
          <w:rFonts w:asciiTheme="minorBidi" w:hAnsiTheme="minorBidi"/>
          <w:sz w:val="24"/>
          <w:szCs w:val="24"/>
        </w:rPr>
        <w:t xml:space="preserve"> diagnosis by looking at the GeneXpert result and verbally affirming to the SP that they had TB. Next</w:t>
      </w:r>
      <w:r w:rsidR="00CA7264" w:rsidRPr="00F729E1">
        <w:rPr>
          <w:rFonts w:asciiTheme="minorBidi" w:hAnsiTheme="minorBidi"/>
          <w:sz w:val="24"/>
          <w:szCs w:val="24"/>
        </w:rPr>
        <w:t>,</w:t>
      </w:r>
      <w:r w:rsidRPr="00F729E1">
        <w:rPr>
          <w:rFonts w:asciiTheme="minorBidi" w:hAnsiTheme="minorBidi"/>
          <w:sz w:val="24"/>
          <w:szCs w:val="24"/>
        </w:rPr>
        <w:t xml:space="preserve"> providers needed to provide counseling to sufficiently explain TB and its treatment. NTBLCP guidelines specify nine different elements of TB counseling; in this study providers were expected to demonstrate a streamlined set of counseling elements including explaining TB is curable, providing a brief overview of the medicines used to treat TB, describing the duration of treatment (6 months), and emphasizing the importance of taking TB medicine daily. After counseling providers should request the patient to identify a treatment supporter, and initiate TB treatment. </w:t>
      </w:r>
    </w:p>
    <w:p w14:paraId="42E4600A" w14:textId="50F9AEEF" w:rsidR="002573C1" w:rsidRPr="00F729E1" w:rsidRDefault="002573C1" w:rsidP="00F83D2C">
      <w:pPr>
        <w:tabs>
          <w:tab w:val="num" w:pos="1440"/>
        </w:tabs>
        <w:spacing w:line="480" w:lineRule="auto"/>
        <w:rPr>
          <w:rFonts w:asciiTheme="minorBidi" w:hAnsiTheme="minorBidi"/>
          <w:sz w:val="24"/>
          <w:szCs w:val="24"/>
        </w:rPr>
      </w:pPr>
      <w:r w:rsidRPr="00F729E1">
        <w:rPr>
          <w:rFonts w:asciiTheme="minorBidi" w:hAnsiTheme="minorBidi"/>
          <w:sz w:val="24"/>
          <w:szCs w:val="24"/>
        </w:rPr>
        <w:t xml:space="preserve">Although NTBLCP guidelines encourage community-based DOTS with a treatment supporter, clinical providers have the option of offering clinic-based DOTS if the client </w:t>
      </w:r>
      <w:r w:rsidRPr="00F729E1">
        <w:rPr>
          <w:rFonts w:asciiTheme="minorBidi" w:hAnsiTheme="minorBidi"/>
          <w:sz w:val="24"/>
          <w:szCs w:val="24"/>
        </w:rPr>
        <w:lastRenderedPageBreak/>
        <w:t>cannot identify a treatment support</w:t>
      </w:r>
      <w:r w:rsidR="00CA7264" w:rsidRPr="00F729E1">
        <w:rPr>
          <w:rFonts w:asciiTheme="minorBidi" w:hAnsiTheme="minorBidi"/>
          <w:sz w:val="24"/>
          <w:szCs w:val="24"/>
        </w:rPr>
        <w:t xml:space="preserve">er </w:t>
      </w:r>
      <w:r w:rsidRPr="00F729E1">
        <w:rPr>
          <w:rFonts w:asciiTheme="minorBidi" w:hAnsiTheme="minorBidi"/>
          <w:sz w:val="24"/>
          <w:szCs w:val="24"/>
        </w:rPr>
        <w:t>and/or the clinician has doubts that a patient’s treatment supporter can appropriately monitor daily adherence to the TB treatment protocol. As a result</w:t>
      </w:r>
      <w:r w:rsidR="001B25C2" w:rsidRPr="00F729E1">
        <w:rPr>
          <w:rFonts w:asciiTheme="minorBidi" w:hAnsiTheme="minorBidi"/>
          <w:sz w:val="24"/>
          <w:szCs w:val="24"/>
        </w:rPr>
        <w:t>,</w:t>
      </w:r>
      <w:r w:rsidRPr="00F729E1">
        <w:rPr>
          <w:rFonts w:asciiTheme="minorBidi" w:hAnsiTheme="minorBidi"/>
          <w:sz w:val="24"/>
          <w:szCs w:val="24"/>
        </w:rPr>
        <w:t xml:space="preserve"> we count three different treatment scenarios as “correct”, since we cannot know with certainty what DOTS scenario the provider determined was best for the SP in this scenario: 1) giving a prescription for TB medications or providing TB drugs directly to the patient to take home; 2) requesting the patient begin observed treatment during the counseling session, or 3) requesting the patient come back later with the treatment supporter to begin observed treatment. Although some providers requested/insisted that SPs began observed treatment during the counseling session, SPs were not able to ingest TB drugs on ethical grounds, so they were trained to tactfully delay initiation and refuse ingesting medications if this circumstance arose. In all treatment initiation instances, providers were also expected to refrain from providing additional, unnecessary medications including non-TB antibiotics and steroids.</w:t>
      </w:r>
    </w:p>
    <w:p w14:paraId="37AE9BC3" w14:textId="3D07284D" w:rsidR="00FC63D9" w:rsidRPr="00F729E1" w:rsidRDefault="004C318B" w:rsidP="0035198C">
      <w:pPr>
        <w:pStyle w:val="Heading3"/>
        <w:spacing w:line="480" w:lineRule="auto"/>
        <w:rPr>
          <w:rFonts w:asciiTheme="minorBidi" w:hAnsiTheme="minorBidi" w:cstheme="minorBidi"/>
          <w:b/>
          <w:bCs/>
        </w:rPr>
      </w:pPr>
      <w:r w:rsidRPr="00F729E1">
        <w:rPr>
          <w:rFonts w:asciiTheme="minorBidi" w:hAnsiTheme="minorBidi" w:cstheme="minorBidi"/>
          <w:b/>
          <w:bCs/>
        </w:rPr>
        <w:t>Details on SP Training and Data Collection</w:t>
      </w:r>
    </w:p>
    <w:p w14:paraId="665524E8" w14:textId="4CE27139" w:rsidR="00F4562C" w:rsidRPr="00F729E1" w:rsidRDefault="00F4562C" w:rsidP="00F83D2C">
      <w:pPr>
        <w:spacing w:line="480" w:lineRule="auto"/>
        <w:rPr>
          <w:rFonts w:asciiTheme="minorBidi" w:hAnsiTheme="minorBidi"/>
          <w:sz w:val="24"/>
          <w:szCs w:val="24"/>
        </w:rPr>
      </w:pPr>
      <w:r w:rsidRPr="00F729E1">
        <w:rPr>
          <w:rFonts w:asciiTheme="minorBidi" w:hAnsiTheme="minorBidi"/>
          <w:sz w:val="24"/>
          <w:szCs w:val="24"/>
        </w:rPr>
        <w:t xml:space="preserve">Executing an SP approach involves covertly sending trained data collectors to a healthcare facility where they present an opening statement for a given scenario, which in our study was either presumptive or recently-confirmed TB. To ensure consistency across SPs and capture providers’ actions we referenced and customized </w:t>
      </w:r>
      <w:r w:rsidR="005721B6" w:rsidRPr="00F729E1">
        <w:rPr>
          <w:rFonts w:asciiTheme="minorBidi" w:hAnsiTheme="minorBidi"/>
          <w:sz w:val="24"/>
          <w:szCs w:val="24"/>
        </w:rPr>
        <w:t>publicly</w:t>
      </w:r>
      <w:r w:rsidRPr="00F729E1">
        <w:rPr>
          <w:rFonts w:asciiTheme="minorBidi" w:hAnsiTheme="minorBidi"/>
          <w:sz w:val="24"/>
          <w:szCs w:val="24"/>
        </w:rPr>
        <w:t>-available manuals and tools to prepare SPs for field deployment.</w:t>
      </w:r>
      <w:r w:rsidR="0092659B" w:rsidRPr="00F729E1">
        <w:rPr>
          <w:rFonts w:asciiTheme="minorBidi" w:hAnsiTheme="minorBidi"/>
          <w:sz w:val="24"/>
          <w:szCs w:val="24"/>
        </w:rPr>
        <w:t>[7-8]</w:t>
      </w:r>
    </w:p>
    <w:p w14:paraId="6B75D81B" w14:textId="2AD15F9A" w:rsidR="00F4562C" w:rsidRPr="00F729E1" w:rsidRDefault="00F4562C" w:rsidP="00F83D2C">
      <w:pPr>
        <w:spacing w:line="480" w:lineRule="auto"/>
        <w:rPr>
          <w:rFonts w:asciiTheme="minorBidi" w:hAnsiTheme="minorBidi"/>
          <w:sz w:val="24"/>
          <w:szCs w:val="24"/>
        </w:rPr>
      </w:pPr>
      <w:r w:rsidRPr="00F729E1">
        <w:rPr>
          <w:rFonts w:asciiTheme="minorBidi" w:hAnsiTheme="minorBidi"/>
          <w:sz w:val="24"/>
          <w:szCs w:val="24"/>
        </w:rPr>
        <w:t>As explained by others</w:t>
      </w:r>
      <w:r w:rsidR="0092659B" w:rsidRPr="00F729E1">
        <w:rPr>
          <w:rFonts w:asciiTheme="minorBidi" w:hAnsiTheme="minorBidi"/>
          <w:sz w:val="24"/>
          <w:szCs w:val="24"/>
        </w:rPr>
        <w:t xml:space="preserve">,[9] </w:t>
      </w:r>
      <w:r w:rsidRPr="00F729E1">
        <w:rPr>
          <w:rFonts w:asciiTheme="minorBidi" w:hAnsiTheme="minorBidi"/>
          <w:sz w:val="24"/>
          <w:szCs w:val="24"/>
        </w:rPr>
        <w:t xml:space="preserve">ensuring that SPs presented and responded to providers in a believable and undetectable manner is essential for capturing valid </w:t>
      </w:r>
      <w:r w:rsidR="0092659B" w:rsidRPr="00F729E1">
        <w:rPr>
          <w:rFonts w:asciiTheme="minorBidi" w:hAnsiTheme="minorBidi"/>
          <w:sz w:val="24"/>
          <w:szCs w:val="24"/>
        </w:rPr>
        <w:t>data and</w:t>
      </w:r>
      <w:r w:rsidRPr="00F729E1">
        <w:rPr>
          <w:rFonts w:asciiTheme="minorBidi" w:hAnsiTheme="minorBidi"/>
          <w:sz w:val="24"/>
          <w:szCs w:val="24"/>
        </w:rPr>
        <w:t xml:space="preserve"> requires extensive data collector training. In our study, a team of locally-recruited SPs (19 in Lagos and 12 in Kano) and their supervisors (9 in Lagos and 7 in Kano) were trained </w:t>
      </w:r>
      <w:r w:rsidRPr="00F729E1">
        <w:rPr>
          <w:rFonts w:asciiTheme="minorBidi" w:hAnsiTheme="minorBidi"/>
          <w:sz w:val="24"/>
          <w:szCs w:val="24"/>
        </w:rPr>
        <w:lastRenderedPageBreak/>
        <w:t xml:space="preserve">over a three-week (144 hour) training and piloting period. The training covered extensive discussions on the SP </w:t>
      </w:r>
      <w:r w:rsidR="00827220" w:rsidRPr="00F729E1">
        <w:rPr>
          <w:rFonts w:asciiTheme="minorBidi" w:hAnsiTheme="minorBidi"/>
          <w:sz w:val="24"/>
          <w:szCs w:val="24"/>
        </w:rPr>
        <w:t>cases</w:t>
      </w:r>
      <w:r w:rsidRPr="00F729E1">
        <w:rPr>
          <w:rFonts w:asciiTheme="minorBidi" w:hAnsiTheme="minorBidi"/>
          <w:sz w:val="24"/>
          <w:szCs w:val="24"/>
        </w:rPr>
        <w:t xml:space="preserve"> and exit survey tool, and included enactments, role plays, and dry runs in a sample of 94 pilot facilities (62 in Lagos, 32 in Kano).  The training also emphasized protocols and techniques to protect SPs from harm (i.e., avoiding invasive procedures such as blood draws, administration of medicines, etc.). </w:t>
      </w:r>
    </w:p>
    <w:p w14:paraId="78AF600A" w14:textId="0E879D2D" w:rsidR="00E4148B" w:rsidRPr="00F729E1" w:rsidRDefault="00F4562C" w:rsidP="00F83D2C">
      <w:pPr>
        <w:spacing w:line="480" w:lineRule="auto"/>
        <w:rPr>
          <w:rFonts w:asciiTheme="minorBidi" w:hAnsiTheme="minorBidi"/>
          <w:sz w:val="24"/>
          <w:szCs w:val="24"/>
        </w:rPr>
      </w:pPr>
      <w:r w:rsidRPr="00F729E1">
        <w:rPr>
          <w:rFonts w:asciiTheme="minorBidi" w:hAnsiTheme="minorBidi"/>
          <w:sz w:val="24"/>
          <w:szCs w:val="24"/>
        </w:rPr>
        <w:t>All sampled facilities received an unannounced visit from an SP implementing the Case 1</w:t>
      </w:r>
      <w:r w:rsidR="009D3D3B" w:rsidRPr="00F729E1">
        <w:rPr>
          <w:rFonts w:asciiTheme="minorBidi" w:hAnsiTheme="minorBidi"/>
          <w:sz w:val="24"/>
          <w:szCs w:val="24"/>
        </w:rPr>
        <w:t xml:space="preserve"> (the presumptive patient scenario)</w:t>
      </w:r>
      <w:r w:rsidRPr="00F729E1">
        <w:rPr>
          <w:rFonts w:asciiTheme="minorBidi" w:hAnsiTheme="minorBidi"/>
          <w:sz w:val="24"/>
          <w:szCs w:val="24"/>
        </w:rPr>
        <w:t>; SHOP</w:t>
      </w:r>
      <w:r w:rsidR="002E2ADE" w:rsidRPr="00F729E1">
        <w:rPr>
          <w:rFonts w:asciiTheme="minorBidi" w:hAnsiTheme="minorBidi"/>
          <w:sz w:val="24"/>
          <w:szCs w:val="24"/>
        </w:rPr>
        <w:t>S</w:t>
      </w:r>
      <w:r w:rsidRPr="00F729E1">
        <w:rPr>
          <w:rFonts w:asciiTheme="minorBidi" w:hAnsiTheme="minorBidi"/>
          <w:sz w:val="24"/>
          <w:szCs w:val="24"/>
        </w:rPr>
        <w:t xml:space="preserve"> Plus clinical facilities and public DOTS facilities received an additional unannounced visit from an SP implementing</w:t>
      </w:r>
      <w:r w:rsidR="009D3D3B" w:rsidRPr="00F729E1">
        <w:rPr>
          <w:rFonts w:asciiTheme="minorBidi" w:hAnsiTheme="minorBidi"/>
          <w:sz w:val="24"/>
          <w:szCs w:val="24"/>
        </w:rPr>
        <w:t xml:space="preserve"> Case 2 (</w:t>
      </w:r>
      <w:r w:rsidRPr="00F729E1">
        <w:rPr>
          <w:rFonts w:asciiTheme="minorBidi" w:hAnsiTheme="minorBidi"/>
          <w:sz w:val="24"/>
          <w:szCs w:val="24"/>
        </w:rPr>
        <w:t>the confirmed patient scenario</w:t>
      </w:r>
      <w:r w:rsidR="009D3D3B" w:rsidRPr="00F729E1">
        <w:rPr>
          <w:rFonts w:asciiTheme="minorBidi" w:hAnsiTheme="minorBidi"/>
          <w:sz w:val="24"/>
          <w:szCs w:val="24"/>
        </w:rPr>
        <w:t>)</w:t>
      </w:r>
      <w:r w:rsidRPr="00F729E1">
        <w:rPr>
          <w:rFonts w:asciiTheme="minorBidi" w:hAnsiTheme="minorBidi"/>
          <w:sz w:val="24"/>
          <w:szCs w:val="24"/>
        </w:rPr>
        <w:t>. To prevent detection</w:t>
      </w:r>
      <w:r w:rsidR="009D3D3B" w:rsidRPr="00F729E1">
        <w:rPr>
          <w:rFonts w:asciiTheme="minorBidi" w:hAnsiTheme="minorBidi"/>
          <w:sz w:val="24"/>
          <w:szCs w:val="24"/>
        </w:rPr>
        <w:t xml:space="preserve">, different SPs were assigned to </w:t>
      </w:r>
      <w:r w:rsidR="00EB3CE8" w:rsidRPr="00F729E1">
        <w:rPr>
          <w:rFonts w:asciiTheme="minorBidi" w:hAnsiTheme="minorBidi"/>
          <w:sz w:val="24"/>
          <w:szCs w:val="24"/>
        </w:rPr>
        <w:t>implement Case 1 and Case 2</w:t>
      </w:r>
      <w:r w:rsidR="00263FC7" w:rsidRPr="00F729E1">
        <w:rPr>
          <w:rFonts w:asciiTheme="minorBidi" w:hAnsiTheme="minorBidi"/>
          <w:sz w:val="24"/>
          <w:szCs w:val="24"/>
        </w:rPr>
        <w:t>; during analysis we verified that</w:t>
      </w:r>
      <w:r w:rsidR="00EB3CE8" w:rsidRPr="00F729E1">
        <w:rPr>
          <w:rFonts w:asciiTheme="minorBidi" w:hAnsiTheme="minorBidi"/>
          <w:sz w:val="24"/>
          <w:szCs w:val="24"/>
        </w:rPr>
        <w:t xml:space="preserve"> facilities</w:t>
      </w:r>
      <w:r w:rsidRPr="00F729E1">
        <w:rPr>
          <w:rFonts w:asciiTheme="minorBidi" w:hAnsiTheme="minorBidi"/>
          <w:sz w:val="24"/>
          <w:szCs w:val="24"/>
        </w:rPr>
        <w:t xml:space="preserve"> were never visited by the same SP. In clinical facilities SPs presented at the main registration point for outpatients and presented their cases to whichever consultant was assigned to attend to them. In non-clinical settings SPs presented their case to whomever was working at the reception desk or retail counter at the time of their visit.  </w:t>
      </w:r>
      <w:r w:rsidR="00A66C8B" w:rsidRPr="00F729E1">
        <w:rPr>
          <w:rFonts w:asciiTheme="minorBidi" w:hAnsiTheme="minorBidi"/>
          <w:sz w:val="24"/>
          <w:szCs w:val="24"/>
        </w:rPr>
        <w:t>Outside of their opening statement (see Table 1 in the main article) SPs were instructed not</w:t>
      </w:r>
      <w:r w:rsidR="00CE6653" w:rsidRPr="00F729E1">
        <w:rPr>
          <w:rFonts w:asciiTheme="minorBidi" w:hAnsiTheme="minorBidi"/>
          <w:sz w:val="24"/>
          <w:szCs w:val="24"/>
        </w:rPr>
        <w:t xml:space="preserve"> share any further details (such as additional symptoms, duration of the cough</w:t>
      </w:r>
      <w:r w:rsidR="005721B6" w:rsidRPr="00F729E1">
        <w:rPr>
          <w:rFonts w:asciiTheme="minorBidi" w:hAnsiTheme="minorBidi"/>
          <w:sz w:val="24"/>
          <w:szCs w:val="24"/>
        </w:rPr>
        <w:t xml:space="preserve"> or</w:t>
      </w:r>
      <w:r w:rsidR="00CE6653" w:rsidRPr="00F729E1">
        <w:rPr>
          <w:rFonts w:asciiTheme="minorBidi" w:hAnsiTheme="minorBidi"/>
          <w:sz w:val="24"/>
          <w:szCs w:val="24"/>
        </w:rPr>
        <w:t xml:space="preserve"> fever, previous TB, etc.) unless they </w:t>
      </w:r>
      <w:r w:rsidR="005721B6" w:rsidRPr="00F729E1">
        <w:rPr>
          <w:rFonts w:asciiTheme="minorBidi" w:hAnsiTheme="minorBidi"/>
          <w:sz w:val="24"/>
          <w:szCs w:val="24"/>
        </w:rPr>
        <w:t>were</w:t>
      </w:r>
      <w:r w:rsidR="00CE6653" w:rsidRPr="00F729E1">
        <w:rPr>
          <w:rFonts w:asciiTheme="minorBidi" w:hAnsiTheme="minorBidi"/>
          <w:sz w:val="24"/>
          <w:szCs w:val="24"/>
        </w:rPr>
        <w:t xml:space="preserve"> directly asked by the provider</w:t>
      </w:r>
      <w:r w:rsidR="005721B6" w:rsidRPr="00F729E1">
        <w:rPr>
          <w:rFonts w:asciiTheme="minorBidi" w:hAnsiTheme="minorBidi"/>
          <w:sz w:val="24"/>
          <w:szCs w:val="24"/>
        </w:rPr>
        <w:t xml:space="preserve"> to provide this information</w:t>
      </w:r>
      <w:r w:rsidR="00CE6653" w:rsidRPr="00F729E1">
        <w:rPr>
          <w:rFonts w:asciiTheme="minorBidi" w:hAnsiTheme="minorBidi"/>
          <w:sz w:val="24"/>
          <w:szCs w:val="24"/>
        </w:rPr>
        <w:t>.</w:t>
      </w:r>
      <w:r w:rsidR="00CE6653" w:rsidRPr="00F729E1" w:rsidDel="006A7F1B">
        <w:rPr>
          <w:rFonts w:asciiTheme="minorBidi" w:hAnsiTheme="minorBidi"/>
          <w:sz w:val="24"/>
          <w:szCs w:val="24"/>
        </w:rPr>
        <w:t xml:space="preserve"> </w:t>
      </w:r>
      <w:r w:rsidRPr="00F729E1">
        <w:rPr>
          <w:rFonts w:asciiTheme="minorBidi" w:hAnsiTheme="minorBidi"/>
          <w:sz w:val="24"/>
          <w:szCs w:val="24"/>
        </w:rPr>
        <w:t xml:space="preserve">SPs paid any applicable registration and consultation fees and purchased any medications prescribed. </w:t>
      </w:r>
      <w:r w:rsidR="00FC3FD6" w:rsidRPr="00F729E1">
        <w:rPr>
          <w:rFonts w:asciiTheme="minorBidi" w:hAnsiTheme="minorBidi"/>
          <w:sz w:val="24"/>
          <w:szCs w:val="24"/>
        </w:rPr>
        <w:t xml:space="preserve">SPs made up to </w:t>
      </w:r>
      <w:r w:rsidR="00572833" w:rsidRPr="00F729E1">
        <w:rPr>
          <w:rFonts w:asciiTheme="minorBidi" w:hAnsiTheme="minorBidi"/>
          <w:sz w:val="24"/>
          <w:szCs w:val="24"/>
        </w:rPr>
        <w:t>three visit attempts in each sampled facility</w:t>
      </w:r>
      <w:r w:rsidR="00E4148B" w:rsidRPr="00F729E1">
        <w:rPr>
          <w:rFonts w:asciiTheme="minorBidi" w:hAnsiTheme="minorBidi"/>
          <w:sz w:val="24"/>
          <w:szCs w:val="24"/>
        </w:rPr>
        <w:t xml:space="preserve"> between 10 June and 12 July 2019</w:t>
      </w:r>
      <w:r w:rsidR="00572833" w:rsidRPr="00F729E1">
        <w:rPr>
          <w:rFonts w:asciiTheme="minorBidi" w:hAnsiTheme="minorBidi"/>
          <w:sz w:val="24"/>
          <w:szCs w:val="24"/>
        </w:rPr>
        <w:t xml:space="preserve">.  </w:t>
      </w:r>
    </w:p>
    <w:p w14:paraId="5D8FD8EE" w14:textId="09EA78E5" w:rsidR="0092659B" w:rsidRPr="00F729E1" w:rsidRDefault="00F4562C" w:rsidP="00F83D2C">
      <w:pPr>
        <w:spacing w:line="480" w:lineRule="auto"/>
        <w:rPr>
          <w:rFonts w:asciiTheme="minorBidi" w:hAnsiTheme="minorBidi"/>
          <w:sz w:val="24"/>
          <w:szCs w:val="24"/>
        </w:rPr>
      </w:pPr>
      <w:r w:rsidRPr="00F729E1">
        <w:rPr>
          <w:rFonts w:asciiTheme="minorBidi" w:hAnsiTheme="minorBidi"/>
          <w:sz w:val="24"/>
          <w:szCs w:val="24"/>
        </w:rPr>
        <w:t xml:space="preserve">Directly after each interaction SPs were debriefed by field supervisor to record details of their interaction in a structured exit survey instrument. Field supervisors also collected any items obtained during their interaction (sputum cups, prescription slips, or </w:t>
      </w:r>
      <w:r w:rsidRPr="00F729E1">
        <w:rPr>
          <w:rFonts w:asciiTheme="minorBidi" w:hAnsiTheme="minorBidi"/>
          <w:sz w:val="24"/>
          <w:szCs w:val="24"/>
        </w:rPr>
        <w:lastRenderedPageBreak/>
        <w:t>purchased medicines).  A team of trained pharmacists were responsible for identifying and labeling all medicines dispensed to SPs and subsequently categorizing into six categories:  palliatives or over-the-counter (</w:t>
      </w:r>
      <w:r w:rsidR="005721B6" w:rsidRPr="00F729E1">
        <w:rPr>
          <w:rFonts w:asciiTheme="minorBidi" w:hAnsiTheme="minorBidi"/>
          <w:sz w:val="24"/>
          <w:szCs w:val="24"/>
        </w:rPr>
        <w:t>i.e.,</w:t>
      </w:r>
      <w:r w:rsidRPr="00F729E1">
        <w:rPr>
          <w:rFonts w:asciiTheme="minorBidi" w:hAnsiTheme="minorBidi"/>
          <w:sz w:val="24"/>
          <w:szCs w:val="24"/>
        </w:rPr>
        <w:t xml:space="preserve"> paracetamol or cough syrup); DS-TB medications (rifampicin</w:t>
      </w:r>
      <w:r w:rsidR="00F729E1">
        <w:rPr>
          <w:rFonts w:asciiTheme="minorBidi" w:hAnsiTheme="minorBidi"/>
          <w:sz w:val="24"/>
          <w:szCs w:val="24"/>
        </w:rPr>
        <w:t>,</w:t>
      </w:r>
      <w:r w:rsidRPr="00F729E1">
        <w:rPr>
          <w:rFonts w:asciiTheme="minorBidi" w:hAnsiTheme="minorBidi"/>
          <w:sz w:val="24"/>
          <w:szCs w:val="24"/>
        </w:rPr>
        <w:t xml:space="preserve"> </w:t>
      </w:r>
      <w:r w:rsidRPr="00F729E1">
        <w:rPr>
          <w:rFonts w:asciiTheme="minorBidi" w:hAnsiTheme="minorBidi"/>
          <w:bCs/>
          <w:sz w:val="24"/>
          <w:szCs w:val="24"/>
        </w:rPr>
        <w:t>isoniazid</w:t>
      </w:r>
      <w:r w:rsidRPr="00F729E1">
        <w:rPr>
          <w:rFonts w:asciiTheme="minorBidi" w:hAnsiTheme="minorBidi"/>
          <w:sz w:val="24"/>
          <w:szCs w:val="24"/>
        </w:rPr>
        <w:t>, e</w:t>
      </w:r>
      <w:r w:rsidRPr="00F729E1">
        <w:rPr>
          <w:rFonts w:asciiTheme="minorBidi" w:hAnsiTheme="minorBidi"/>
          <w:bCs/>
          <w:sz w:val="24"/>
          <w:szCs w:val="24"/>
        </w:rPr>
        <w:t>thambutol</w:t>
      </w:r>
      <w:r w:rsidRPr="00F729E1">
        <w:rPr>
          <w:rFonts w:asciiTheme="minorBidi" w:hAnsiTheme="minorBidi"/>
          <w:sz w:val="24"/>
          <w:szCs w:val="24"/>
        </w:rPr>
        <w:t>, p</w:t>
      </w:r>
      <w:r w:rsidRPr="00F729E1">
        <w:rPr>
          <w:rFonts w:asciiTheme="minorBidi" w:hAnsiTheme="minorBidi"/>
          <w:bCs/>
          <w:sz w:val="24"/>
          <w:szCs w:val="24"/>
        </w:rPr>
        <w:t>yrazinamide)</w:t>
      </w:r>
      <w:r w:rsidRPr="00F729E1">
        <w:rPr>
          <w:rFonts w:asciiTheme="minorBidi" w:hAnsiTheme="minorBidi"/>
          <w:sz w:val="24"/>
          <w:szCs w:val="24"/>
        </w:rPr>
        <w:t>; fluoroquinolones; other antibiotics; steroids; and unlabeled drugs.</w:t>
      </w:r>
    </w:p>
    <w:p w14:paraId="72820716" w14:textId="270BCBCA" w:rsidR="0092659B" w:rsidRPr="00F729E1" w:rsidRDefault="00F83D2C" w:rsidP="00F83D2C">
      <w:pPr>
        <w:pStyle w:val="Heading2"/>
        <w:spacing w:line="480" w:lineRule="auto"/>
        <w:rPr>
          <w:rFonts w:asciiTheme="minorBidi" w:hAnsiTheme="minorBidi" w:cstheme="minorBidi"/>
          <w:sz w:val="24"/>
          <w:szCs w:val="24"/>
        </w:rPr>
      </w:pPr>
      <w:r w:rsidRPr="00F729E1">
        <w:rPr>
          <w:rFonts w:asciiTheme="minorBidi" w:hAnsiTheme="minorBidi" w:cstheme="minorBidi"/>
          <w:sz w:val="24"/>
          <w:szCs w:val="24"/>
        </w:rPr>
        <w:t>S</w:t>
      </w:r>
      <w:r w:rsidR="0092659B" w:rsidRPr="00F729E1">
        <w:rPr>
          <w:rFonts w:asciiTheme="minorBidi" w:hAnsiTheme="minorBidi" w:cstheme="minorBidi"/>
          <w:sz w:val="24"/>
          <w:szCs w:val="24"/>
        </w:rPr>
        <w:t>1 References</w:t>
      </w:r>
    </w:p>
    <w:p w14:paraId="41D1BD7F" w14:textId="77777777" w:rsidR="0092659B" w:rsidRPr="00F729E1" w:rsidRDefault="0092659B" w:rsidP="00F83D2C">
      <w:pPr>
        <w:pStyle w:val="ListParagraph"/>
        <w:numPr>
          <w:ilvl w:val="0"/>
          <w:numId w:val="1"/>
        </w:numPr>
        <w:autoSpaceDE w:val="0"/>
        <w:autoSpaceDN w:val="0"/>
        <w:adjustRightInd w:val="0"/>
        <w:spacing w:after="0" w:line="480" w:lineRule="auto"/>
        <w:rPr>
          <w:rFonts w:asciiTheme="minorBidi" w:hAnsiTheme="minorBidi"/>
          <w:sz w:val="24"/>
          <w:szCs w:val="24"/>
        </w:rPr>
      </w:pPr>
      <w:r w:rsidRPr="00F729E1">
        <w:rPr>
          <w:rFonts w:asciiTheme="minorBidi" w:hAnsiTheme="minorBidi"/>
          <w:sz w:val="24"/>
          <w:szCs w:val="24"/>
        </w:rPr>
        <w:t xml:space="preserve">Das J, Kwan A, Daniels B, et al.  Use of standardized patients to assess quality of tuberculosis care: a pilot, cross-sectional study. </w:t>
      </w:r>
      <w:r w:rsidRPr="00F729E1">
        <w:rPr>
          <w:rFonts w:asciiTheme="minorBidi" w:hAnsiTheme="minorBidi"/>
          <w:i/>
          <w:sz w:val="24"/>
          <w:szCs w:val="24"/>
        </w:rPr>
        <w:t>The Lancet</w:t>
      </w:r>
      <w:r w:rsidRPr="00F729E1">
        <w:rPr>
          <w:rFonts w:asciiTheme="minorBidi" w:hAnsiTheme="minorBidi"/>
          <w:sz w:val="24"/>
          <w:szCs w:val="24"/>
        </w:rPr>
        <w:t xml:space="preserve"> 2015;15: 1305-13. doi:</w:t>
      </w:r>
      <w:r w:rsidRPr="00F729E1">
        <w:rPr>
          <w:rStyle w:val="Hyperlink"/>
          <w:rFonts w:asciiTheme="minorBidi" w:hAnsiTheme="minorBidi"/>
          <w:sz w:val="24"/>
          <w:szCs w:val="24"/>
        </w:rPr>
        <w:t>10.1016/S1473-3099(15)00077-8</w:t>
      </w:r>
      <w:r w:rsidRPr="00F729E1">
        <w:rPr>
          <w:rFonts w:asciiTheme="minorBidi" w:hAnsiTheme="minorBidi"/>
          <w:sz w:val="24"/>
          <w:szCs w:val="24"/>
        </w:rPr>
        <w:t>.</w:t>
      </w:r>
    </w:p>
    <w:p w14:paraId="265F88E1" w14:textId="77777777" w:rsidR="0092659B" w:rsidRPr="00F729E1" w:rsidRDefault="0092659B" w:rsidP="00F83D2C">
      <w:pPr>
        <w:numPr>
          <w:ilvl w:val="0"/>
          <w:numId w:val="1"/>
        </w:numPr>
        <w:shd w:val="clear" w:color="auto" w:fill="FFFFFF"/>
        <w:spacing w:before="100" w:beforeAutospacing="1" w:after="100" w:afterAutospacing="1" w:line="480" w:lineRule="auto"/>
        <w:rPr>
          <w:rFonts w:asciiTheme="minorBidi" w:hAnsiTheme="minorBidi"/>
          <w:sz w:val="24"/>
          <w:szCs w:val="24"/>
        </w:rPr>
      </w:pPr>
      <w:r w:rsidRPr="00F729E1">
        <w:rPr>
          <w:rFonts w:asciiTheme="minorBidi" w:hAnsiTheme="minorBidi"/>
          <w:sz w:val="24"/>
          <w:szCs w:val="24"/>
          <w:lang w:val="pt-PT"/>
        </w:rPr>
        <w:t xml:space="preserve">Sylvia S, Xue H, Zhou C, et al. </w:t>
      </w:r>
      <w:r w:rsidRPr="00F729E1">
        <w:rPr>
          <w:rFonts w:asciiTheme="minorBidi" w:hAnsiTheme="minorBidi"/>
          <w:sz w:val="24"/>
          <w:szCs w:val="24"/>
        </w:rPr>
        <w:t xml:space="preserve">Tuberculosis detection and the challenges of integrated care in rural china: a cross-sectional standardized patient study. </w:t>
      </w:r>
      <w:r w:rsidRPr="00F729E1">
        <w:rPr>
          <w:rFonts w:asciiTheme="minorBidi" w:hAnsiTheme="minorBidi"/>
          <w:i/>
          <w:sz w:val="24"/>
          <w:szCs w:val="24"/>
        </w:rPr>
        <w:t>PLoS Med</w:t>
      </w:r>
      <w:r w:rsidRPr="00F729E1">
        <w:rPr>
          <w:rFonts w:asciiTheme="minorBidi" w:hAnsiTheme="minorBidi"/>
          <w:sz w:val="24"/>
          <w:szCs w:val="24"/>
        </w:rPr>
        <w:t xml:space="preserve"> </w:t>
      </w:r>
      <w:r w:rsidRPr="00F729E1">
        <w:rPr>
          <w:rFonts w:asciiTheme="minorBidi" w:hAnsiTheme="minorBidi"/>
          <w:i/>
          <w:iCs/>
          <w:sz w:val="24"/>
          <w:szCs w:val="24"/>
        </w:rPr>
        <w:t xml:space="preserve">2017; </w:t>
      </w:r>
      <w:r w:rsidRPr="00F729E1">
        <w:rPr>
          <w:rFonts w:asciiTheme="minorBidi" w:hAnsiTheme="minorBidi"/>
          <w:sz w:val="24"/>
          <w:szCs w:val="24"/>
        </w:rPr>
        <w:t xml:space="preserve">14(10). doi: </w:t>
      </w:r>
      <w:hyperlink r:id="rId12" w:history="1">
        <w:r w:rsidRPr="00F729E1">
          <w:rPr>
            <w:rStyle w:val="Hyperlink"/>
            <w:rFonts w:asciiTheme="minorBidi" w:hAnsiTheme="minorBidi"/>
            <w:sz w:val="24"/>
            <w:szCs w:val="24"/>
          </w:rPr>
          <w:t>10.1371/journal.pmed.1002405</w:t>
        </w:r>
      </w:hyperlink>
      <w:r w:rsidRPr="00F729E1">
        <w:rPr>
          <w:rFonts w:asciiTheme="minorBidi" w:hAnsiTheme="minorBidi"/>
          <w:color w:val="606060"/>
          <w:sz w:val="24"/>
          <w:szCs w:val="24"/>
        </w:rPr>
        <w:t>.</w:t>
      </w:r>
    </w:p>
    <w:p w14:paraId="3A12EE1D" w14:textId="77777777" w:rsidR="0092659B" w:rsidRPr="00F729E1" w:rsidRDefault="0092659B" w:rsidP="00F83D2C">
      <w:pPr>
        <w:pStyle w:val="ListParagraph"/>
        <w:numPr>
          <w:ilvl w:val="0"/>
          <w:numId w:val="1"/>
        </w:numPr>
        <w:autoSpaceDE w:val="0"/>
        <w:autoSpaceDN w:val="0"/>
        <w:adjustRightInd w:val="0"/>
        <w:spacing w:after="0" w:line="480" w:lineRule="auto"/>
        <w:rPr>
          <w:rFonts w:asciiTheme="minorBidi" w:hAnsiTheme="minorBidi"/>
          <w:sz w:val="24"/>
          <w:szCs w:val="24"/>
        </w:rPr>
      </w:pPr>
      <w:r w:rsidRPr="00F729E1">
        <w:rPr>
          <w:rFonts w:asciiTheme="minorBidi" w:hAnsiTheme="minorBidi"/>
          <w:sz w:val="24"/>
          <w:szCs w:val="24"/>
        </w:rPr>
        <w:t xml:space="preserve">Daniels B, Dolinger A, Bedoya G, </w:t>
      </w:r>
      <w:r w:rsidRPr="00F729E1">
        <w:rPr>
          <w:rFonts w:asciiTheme="minorBidi" w:hAnsiTheme="minorBidi"/>
          <w:iCs/>
          <w:sz w:val="24"/>
          <w:szCs w:val="24"/>
        </w:rPr>
        <w:t>et al</w:t>
      </w:r>
      <w:r w:rsidRPr="00F729E1">
        <w:rPr>
          <w:rFonts w:asciiTheme="minorBidi" w:hAnsiTheme="minorBidi"/>
          <w:sz w:val="24"/>
          <w:szCs w:val="24"/>
        </w:rPr>
        <w:t xml:space="preserve">. </w:t>
      </w:r>
      <w:r w:rsidRPr="00F729E1">
        <w:rPr>
          <w:rFonts w:asciiTheme="minorBidi" w:hAnsiTheme="minorBidi"/>
          <w:sz w:val="24"/>
          <w:szCs w:val="24"/>
          <w:lang w:val="en-GB"/>
        </w:rPr>
        <w:t xml:space="preserve">Use of standardised patients to assess quality of healthcare in Nairobi, Kenya: a pilot, cross-sectional study with international comparisons. </w:t>
      </w:r>
      <w:r w:rsidRPr="00F729E1">
        <w:rPr>
          <w:rFonts w:asciiTheme="minorBidi" w:hAnsiTheme="minorBidi"/>
          <w:i/>
          <w:iCs/>
          <w:sz w:val="24"/>
          <w:szCs w:val="24"/>
        </w:rPr>
        <w:t xml:space="preserve">BMJ Glob Health </w:t>
      </w:r>
      <w:r w:rsidRPr="00F729E1">
        <w:rPr>
          <w:rFonts w:asciiTheme="minorBidi" w:hAnsiTheme="minorBidi"/>
          <w:sz w:val="24"/>
          <w:szCs w:val="24"/>
        </w:rPr>
        <w:t>2017</w:t>
      </w:r>
      <w:r w:rsidRPr="00F729E1">
        <w:rPr>
          <w:rFonts w:asciiTheme="minorBidi" w:hAnsiTheme="minorBidi"/>
          <w:i/>
          <w:iCs/>
          <w:sz w:val="24"/>
          <w:szCs w:val="24"/>
        </w:rPr>
        <w:t>.</w:t>
      </w:r>
      <w:r w:rsidRPr="00F729E1">
        <w:rPr>
          <w:rFonts w:asciiTheme="minorBidi" w:hAnsiTheme="minorBidi"/>
          <w:sz w:val="24"/>
          <w:szCs w:val="24"/>
        </w:rPr>
        <w:t xml:space="preserve"> </w:t>
      </w:r>
      <w:r w:rsidRPr="00F729E1">
        <w:rPr>
          <w:rFonts w:asciiTheme="minorBidi" w:hAnsiTheme="minorBidi"/>
          <w:bCs/>
          <w:sz w:val="24"/>
          <w:szCs w:val="24"/>
        </w:rPr>
        <w:t>2(2)</w:t>
      </w:r>
      <w:r w:rsidRPr="00F729E1">
        <w:rPr>
          <w:rFonts w:asciiTheme="minorBidi" w:hAnsiTheme="minorBidi"/>
          <w:sz w:val="24"/>
          <w:szCs w:val="24"/>
        </w:rPr>
        <w:t xml:space="preserve">. doi: </w:t>
      </w:r>
      <w:hyperlink r:id="rId13" w:history="1">
        <w:r w:rsidRPr="00F729E1">
          <w:rPr>
            <w:rStyle w:val="Hyperlink"/>
            <w:rFonts w:asciiTheme="minorBidi" w:hAnsiTheme="minorBidi"/>
            <w:sz w:val="24"/>
            <w:szCs w:val="24"/>
          </w:rPr>
          <w:t>10.1136/bmjgh-2017-000333</w:t>
        </w:r>
      </w:hyperlink>
      <w:r w:rsidRPr="00F729E1">
        <w:rPr>
          <w:rFonts w:asciiTheme="minorBidi" w:hAnsiTheme="minorBidi"/>
          <w:sz w:val="24"/>
          <w:szCs w:val="24"/>
        </w:rPr>
        <w:t xml:space="preserve"> </w:t>
      </w:r>
    </w:p>
    <w:p w14:paraId="0345A83A" w14:textId="77777777" w:rsidR="0092659B" w:rsidRPr="00F729E1" w:rsidRDefault="0092659B" w:rsidP="00F83D2C">
      <w:pPr>
        <w:numPr>
          <w:ilvl w:val="0"/>
          <w:numId w:val="1"/>
        </w:numPr>
        <w:shd w:val="clear" w:color="auto" w:fill="FFFFFF"/>
        <w:spacing w:before="100" w:beforeAutospacing="1" w:after="100" w:afterAutospacing="1" w:line="480" w:lineRule="auto"/>
        <w:rPr>
          <w:rFonts w:asciiTheme="minorBidi" w:hAnsiTheme="minorBidi"/>
          <w:sz w:val="24"/>
          <w:szCs w:val="24"/>
        </w:rPr>
      </w:pPr>
      <w:r w:rsidRPr="00F729E1">
        <w:rPr>
          <w:rFonts w:asciiTheme="minorBidi" w:hAnsiTheme="minorBidi"/>
          <w:sz w:val="24"/>
          <w:szCs w:val="24"/>
        </w:rPr>
        <w:t xml:space="preserve">Miller R and Goodman C. Do chain pharmacies perform better than independent pharmacies? Evidence from a standardised patient study of the management of childhood diarrhoea and suspected tuberculosis in urban India. </w:t>
      </w:r>
      <w:r w:rsidRPr="00F729E1">
        <w:rPr>
          <w:rFonts w:asciiTheme="minorBidi" w:hAnsiTheme="minorBidi"/>
          <w:i/>
          <w:sz w:val="24"/>
          <w:szCs w:val="24"/>
        </w:rPr>
        <w:t xml:space="preserve">BMJ Global Health </w:t>
      </w:r>
      <w:r w:rsidRPr="00F729E1">
        <w:rPr>
          <w:rFonts w:asciiTheme="minorBidi" w:hAnsiTheme="minorBidi"/>
          <w:iCs/>
          <w:sz w:val="24"/>
          <w:szCs w:val="24"/>
        </w:rPr>
        <w:t>2017</w:t>
      </w:r>
      <w:r w:rsidRPr="00F729E1">
        <w:rPr>
          <w:rFonts w:asciiTheme="minorBidi" w:hAnsiTheme="minorBidi"/>
          <w:sz w:val="24"/>
          <w:szCs w:val="24"/>
        </w:rPr>
        <w:t xml:space="preserve">, 2(3). doi: </w:t>
      </w:r>
      <w:r w:rsidRPr="00F729E1">
        <w:rPr>
          <w:rStyle w:val="Hyperlink"/>
          <w:rFonts w:asciiTheme="minorBidi" w:hAnsiTheme="minorBidi"/>
          <w:sz w:val="24"/>
          <w:szCs w:val="24"/>
        </w:rPr>
        <w:t>10.1136/bmjgh-2017-000457</w:t>
      </w:r>
      <w:r w:rsidRPr="00F729E1">
        <w:rPr>
          <w:rFonts w:asciiTheme="minorBidi" w:hAnsiTheme="minorBidi"/>
          <w:sz w:val="24"/>
          <w:szCs w:val="24"/>
        </w:rPr>
        <w:t>.</w:t>
      </w:r>
    </w:p>
    <w:p w14:paraId="22537CCF" w14:textId="77777777" w:rsidR="0092659B" w:rsidRPr="00F729E1" w:rsidRDefault="0092659B" w:rsidP="00F83D2C">
      <w:pPr>
        <w:pStyle w:val="ListParagraph"/>
        <w:numPr>
          <w:ilvl w:val="0"/>
          <w:numId w:val="1"/>
        </w:numPr>
        <w:autoSpaceDE w:val="0"/>
        <w:autoSpaceDN w:val="0"/>
        <w:adjustRightInd w:val="0"/>
        <w:spacing w:after="0" w:line="480" w:lineRule="auto"/>
        <w:rPr>
          <w:rStyle w:val="Hyperlink"/>
          <w:rFonts w:asciiTheme="minorBidi" w:hAnsiTheme="minorBidi"/>
          <w:sz w:val="24"/>
          <w:szCs w:val="24"/>
        </w:rPr>
      </w:pPr>
      <w:r w:rsidRPr="00F729E1">
        <w:rPr>
          <w:rFonts w:asciiTheme="minorBidi" w:hAnsiTheme="minorBidi"/>
          <w:sz w:val="24"/>
          <w:szCs w:val="24"/>
        </w:rPr>
        <w:t>Christian CS, Gerdthan UG, Hompashe D, et al. Measuring quality gaps in TB screening in South Africa using standardised patient analysis</w:t>
      </w:r>
      <w:r w:rsidRPr="00F729E1">
        <w:rPr>
          <w:rFonts w:asciiTheme="minorBidi" w:hAnsiTheme="minorBidi"/>
          <w:i/>
          <w:iCs/>
          <w:sz w:val="24"/>
          <w:szCs w:val="24"/>
        </w:rPr>
        <w:t xml:space="preserve">. Int J Environ Res Public Health </w:t>
      </w:r>
      <w:r w:rsidRPr="00F729E1">
        <w:rPr>
          <w:rFonts w:asciiTheme="minorBidi" w:hAnsiTheme="minorBidi"/>
          <w:sz w:val="24"/>
          <w:szCs w:val="24"/>
        </w:rPr>
        <w:t>2018</w:t>
      </w:r>
      <w:r w:rsidRPr="00F729E1">
        <w:rPr>
          <w:rFonts w:asciiTheme="minorBidi" w:hAnsiTheme="minorBidi"/>
          <w:i/>
          <w:sz w:val="24"/>
          <w:szCs w:val="24"/>
        </w:rPr>
        <w:t xml:space="preserve">; </w:t>
      </w:r>
      <w:r w:rsidRPr="00F729E1">
        <w:rPr>
          <w:rFonts w:asciiTheme="minorBidi" w:hAnsiTheme="minorBidi"/>
          <w:sz w:val="24"/>
          <w:szCs w:val="24"/>
        </w:rPr>
        <w:t xml:space="preserve">15(4): 729. </w:t>
      </w:r>
      <w:r w:rsidRPr="00F729E1">
        <w:rPr>
          <w:rFonts w:asciiTheme="minorBidi" w:hAnsiTheme="minorBidi"/>
          <w:sz w:val="24"/>
          <w:szCs w:val="24"/>
          <w:shd w:val="clear" w:color="auto" w:fill="FFFFFF"/>
        </w:rPr>
        <w:t>doi:</w:t>
      </w:r>
      <w:hyperlink r:id="rId14" w:tgtFrame="pmc_ext" w:history="1">
        <w:r w:rsidRPr="00F729E1">
          <w:rPr>
            <w:rStyle w:val="Hyperlink"/>
            <w:rFonts w:asciiTheme="minorBidi" w:hAnsiTheme="minorBidi"/>
            <w:sz w:val="24"/>
            <w:szCs w:val="24"/>
            <w:shd w:val="clear" w:color="auto" w:fill="FFFFFF"/>
          </w:rPr>
          <w:t>10.3390/ijerph15040729</w:t>
        </w:r>
      </w:hyperlink>
      <w:r w:rsidRPr="00F729E1">
        <w:rPr>
          <w:rStyle w:val="Hyperlink"/>
          <w:rFonts w:asciiTheme="minorBidi" w:hAnsiTheme="minorBidi"/>
          <w:sz w:val="24"/>
          <w:szCs w:val="24"/>
          <w:shd w:val="clear" w:color="auto" w:fill="FFFFFF"/>
        </w:rPr>
        <w:t>.</w:t>
      </w:r>
    </w:p>
    <w:p w14:paraId="77E7CC77" w14:textId="77777777" w:rsidR="0092659B" w:rsidRPr="00F729E1" w:rsidRDefault="0092659B" w:rsidP="00F83D2C">
      <w:pPr>
        <w:pStyle w:val="ListParagraph"/>
        <w:numPr>
          <w:ilvl w:val="0"/>
          <w:numId w:val="1"/>
        </w:numPr>
        <w:autoSpaceDE w:val="0"/>
        <w:autoSpaceDN w:val="0"/>
        <w:adjustRightInd w:val="0"/>
        <w:spacing w:after="0" w:line="480" w:lineRule="auto"/>
        <w:rPr>
          <w:rStyle w:val="Hyperlink"/>
          <w:rFonts w:asciiTheme="minorBidi" w:hAnsiTheme="minorBidi"/>
          <w:sz w:val="24"/>
          <w:szCs w:val="24"/>
        </w:rPr>
      </w:pPr>
      <w:r w:rsidRPr="00F729E1">
        <w:rPr>
          <w:rFonts w:asciiTheme="minorBidi" w:hAnsiTheme="minorBidi"/>
          <w:sz w:val="24"/>
          <w:szCs w:val="24"/>
        </w:rPr>
        <w:lastRenderedPageBreak/>
        <w:t xml:space="preserve">Kwan A, Daniels B, Saria V, et al. Variations in the quality of tuberculosis care in urban India: A cross-sectional, standardized patient study in two cities. </w:t>
      </w:r>
      <w:r w:rsidRPr="00F729E1">
        <w:rPr>
          <w:rFonts w:asciiTheme="minorBidi" w:hAnsiTheme="minorBidi"/>
          <w:i/>
          <w:iCs/>
          <w:sz w:val="24"/>
          <w:szCs w:val="24"/>
        </w:rPr>
        <w:t xml:space="preserve">PLoS Med </w:t>
      </w:r>
      <w:r w:rsidRPr="00F729E1">
        <w:rPr>
          <w:rFonts w:asciiTheme="minorBidi" w:hAnsiTheme="minorBidi"/>
          <w:sz w:val="24"/>
          <w:szCs w:val="24"/>
        </w:rPr>
        <w:t xml:space="preserve">2018 Sep 25;15(9):e1002653. doi: </w:t>
      </w:r>
      <w:r w:rsidRPr="00F729E1">
        <w:rPr>
          <w:rStyle w:val="Hyperlink"/>
          <w:rFonts w:asciiTheme="minorBidi" w:hAnsiTheme="minorBidi"/>
          <w:sz w:val="24"/>
          <w:szCs w:val="24"/>
          <w:shd w:val="clear" w:color="auto" w:fill="FFFFFF"/>
        </w:rPr>
        <w:t>10.1371/journal.pmed.1002653</w:t>
      </w:r>
      <w:r w:rsidRPr="00F729E1">
        <w:rPr>
          <w:rFonts w:asciiTheme="minorBidi" w:hAnsiTheme="minorBidi"/>
          <w:sz w:val="24"/>
          <w:szCs w:val="24"/>
        </w:rPr>
        <w:t>.</w:t>
      </w:r>
    </w:p>
    <w:p w14:paraId="129BFC13" w14:textId="77777777" w:rsidR="0092659B" w:rsidRPr="00F729E1" w:rsidRDefault="0092659B" w:rsidP="00F83D2C">
      <w:pPr>
        <w:pStyle w:val="ListParagraph"/>
        <w:numPr>
          <w:ilvl w:val="0"/>
          <w:numId w:val="1"/>
        </w:numPr>
        <w:autoSpaceDE w:val="0"/>
        <w:autoSpaceDN w:val="0"/>
        <w:adjustRightInd w:val="0"/>
        <w:spacing w:after="0" w:line="480" w:lineRule="auto"/>
        <w:rPr>
          <w:rFonts w:asciiTheme="minorBidi" w:hAnsiTheme="minorBidi"/>
          <w:sz w:val="24"/>
          <w:szCs w:val="24"/>
          <w:u w:val="single"/>
        </w:rPr>
      </w:pPr>
      <w:r w:rsidRPr="00F729E1">
        <w:rPr>
          <w:rFonts w:asciiTheme="minorBidi" w:hAnsiTheme="minorBidi"/>
          <w:color w:val="000000"/>
          <w:sz w:val="24"/>
          <w:szCs w:val="24"/>
          <w:lang w:val="es-ES"/>
        </w:rPr>
        <w:t xml:space="preserve">Chan B, Das V, Mohanan M, et al. </w:t>
      </w:r>
      <w:r w:rsidRPr="00F729E1">
        <w:rPr>
          <w:rFonts w:asciiTheme="minorBidi" w:hAnsiTheme="minorBidi"/>
          <w:color w:val="000000"/>
          <w:sz w:val="24"/>
          <w:szCs w:val="24"/>
        </w:rPr>
        <w:t xml:space="preserve">(2012) Standardized patients and the measurement of healthcare quality: field guide, manual, and sample instruments. </w:t>
      </w:r>
      <w:r w:rsidRPr="00F729E1">
        <w:rPr>
          <w:rFonts w:asciiTheme="minorBidi" w:eastAsia="Verdana" w:hAnsiTheme="minorBidi"/>
          <w:color w:val="000000"/>
          <w:sz w:val="24"/>
          <w:szCs w:val="24"/>
        </w:rPr>
        <w:t>M</w:t>
      </w:r>
      <w:r w:rsidRPr="00F729E1">
        <w:rPr>
          <w:rFonts w:asciiTheme="minorBidi" w:eastAsia="Bookman Old Style" w:hAnsiTheme="minorBidi"/>
          <w:color w:val="000000"/>
          <w:sz w:val="24"/>
          <w:szCs w:val="24"/>
        </w:rPr>
        <w:t xml:space="preserve">edical </w:t>
      </w:r>
      <w:r w:rsidRPr="00F729E1">
        <w:rPr>
          <w:rFonts w:asciiTheme="minorBidi" w:eastAsia="Verdana" w:hAnsiTheme="minorBidi"/>
          <w:color w:val="000000"/>
          <w:sz w:val="24"/>
          <w:szCs w:val="24"/>
        </w:rPr>
        <w:t>a</w:t>
      </w:r>
      <w:r w:rsidRPr="00F729E1">
        <w:rPr>
          <w:rFonts w:asciiTheme="minorBidi" w:eastAsia="Bookman Old Style" w:hAnsiTheme="minorBidi"/>
          <w:color w:val="000000"/>
          <w:sz w:val="24"/>
          <w:szCs w:val="24"/>
        </w:rPr>
        <w:t xml:space="preserve">dvice, </w:t>
      </w:r>
      <w:r w:rsidRPr="00F729E1">
        <w:rPr>
          <w:rFonts w:asciiTheme="minorBidi" w:eastAsia="Verdana" w:hAnsiTheme="minorBidi"/>
          <w:color w:val="000000"/>
          <w:sz w:val="24"/>
          <w:szCs w:val="24"/>
        </w:rPr>
        <w:t>q</w:t>
      </w:r>
      <w:r w:rsidRPr="00F729E1">
        <w:rPr>
          <w:rFonts w:asciiTheme="minorBidi" w:eastAsia="Bookman Old Style" w:hAnsiTheme="minorBidi"/>
          <w:color w:val="000000"/>
          <w:sz w:val="24"/>
          <w:szCs w:val="24"/>
        </w:rPr>
        <w:t xml:space="preserve">uality, and </w:t>
      </w:r>
      <w:r w:rsidRPr="00F729E1">
        <w:rPr>
          <w:rFonts w:asciiTheme="minorBidi" w:eastAsia="Verdana" w:hAnsiTheme="minorBidi"/>
          <w:color w:val="000000"/>
          <w:sz w:val="24"/>
          <w:szCs w:val="24"/>
        </w:rPr>
        <w:t>a</w:t>
      </w:r>
      <w:r w:rsidRPr="00F729E1">
        <w:rPr>
          <w:rFonts w:asciiTheme="minorBidi" w:eastAsia="Bookman Old Style" w:hAnsiTheme="minorBidi"/>
          <w:color w:val="000000"/>
          <w:sz w:val="24"/>
          <w:szCs w:val="24"/>
        </w:rPr>
        <w:t xml:space="preserve">vailability in </w:t>
      </w:r>
      <w:r w:rsidRPr="00F729E1">
        <w:rPr>
          <w:rFonts w:asciiTheme="minorBidi" w:eastAsia="Verdana" w:hAnsiTheme="minorBidi"/>
          <w:color w:val="000000"/>
          <w:sz w:val="24"/>
          <w:szCs w:val="24"/>
        </w:rPr>
        <w:t>r</w:t>
      </w:r>
      <w:r w:rsidRPr="00F729E1">
        <w:rPr>
          <w:rFonts w:asciiTheme="minorBidi" w:eastAsia="Bookman Old Style" w:hAnsiTheme="minorBidi"/>
          <w:color w:val="000000"/>
          <w:sz w:val="24"/>
          <w:szCs w:val="24"/>
        </w:rPr>
        <w:t xml:space="preserve">ural </w:t>
      </w:r>
      <w:r w:rsidRPr="00F729E1">
        <w:rPr>
          <w:rFonts w:asciiTheme="minorBidi" w:eastAsia="Verdana" w:hAnsiTheme="minorBidi"/>
          <w:color w:val="000000"/>
          <w:sz w:val="24"/>
          <w:szCs w:val="24"/>
        </w:rPr>
        <w:t>I</w:t>
      </w:r>
      <w:r w:rsidRPr="00F729E1">
        <w:rPr>
          <w:rFonts w:asciiTheme="minorBidi" w:eastAsia="Bookman Old Style" w:hAnsiTheme="minorBidi"/>
          <w:color w:val="000000"/>
          <w:sz w:val="24"/>
          <w:szCs w:val="24"/>
        </w:rPr>
        <w:t>ndia (MAQARI) Project.</w:t>
      </w:r>
    </w:p>
    <w:p w14:paraId="05222EB6" w14:textId="77777777" w:rsidR="0092659B" w:rsidRPr="00F729E1" w:rsidRDefault="0092659B" w:rsidP="00F83D2C">
      <w:pPr>
        <w:pStyle w:val="ListParagraph"/>
        <w:numPr>
          <w:ilvl w:val="0"/>
          <w:numId w:val="1"/>
        </w:numPr>
        <w:autoSpaceDE w:val="0"/>
        <w:autoSpaceDN w:val="0"/>
        <w:adjustRightInd w:val="0"/>
        <w:spacing w:after="0" w:line="480" w:lineRule="auto"/>
        <w:rPr>
          <w:rFonts w:asciiTheme="minorBidi" w:hAnsiTheme="minorBidi"/>
          <w:sz w:val="24"/>
          <w:szCs w:val="24"/>
          <w:u w:val="single"/>
        </w:rPr>
      </w:pPr>
      <w:r w:rsidRPr="00F729E1">
        <w:rPr>
          <w:rFonts w:asciiTheme="minorBidi" w:hAnsiTheme="minorBidi"/>
          <w:color w:val="303030"/>
          <w:sz w:val="24"/>
          <w:szCs w:val="24"/>
          <w:shd w:val="clear" w:color="auto" w:fill="FFFFFF"/>
        </w:rPr>
        <w:t xml:space="preserve">Kwan A, Daniels B, Bergkvist S, et al. </w:t>
      </w:r>
      <w:r w:rsidRPr="00F729E1">
        <w:rPr>
          <w:rFonts w:asciiTheme="minorBidi" w:hAnsiTheme="minorBidi"/>
          <w:i/>
          <w:iCs/>
          <w:color w:val="303030"/>
          <w:sz w:val="24"/>
          <w:szCs w:val="24"/>
          <w:shd w:val="clear" w:color="auto" w:fill="FFFFFF"/>
        </w:rPr>
        <w:t>Use of standardised patients to measure health care quality: a manual and toolkit for projects in low- and middle-income countries</w:t>
      </w:r>
      <w:r w:rsidRPr="00F729E1">
        <w:rPr>
          <w:rFonts w:asciiTheme="minorBidi" w:hAnsiTheme="minorBidi"/>
          <w:color w:val="303030"/>
          <w:sz w:val="24"/>
          <w:szCs w:val="24"/>
          <w:shd w:val="clear" w:color="auto" w:fill="FFFFFF"/>
        </w:rPr>
        <w:t xml:space="preserve">.  </w:t>
      </w:r>
      <w:r w:rsidRPr="00F729E1">
        <w:rPr>
          <w:rFonts w:asciiTheme="minorBidi" w:hAnsiTheme="minorBidi"/>
          <w:iCs/>
          <w:color w:val="303030"/>
          <w:sz w:val="24"/>
          <w:szCs w:val="24"/>
          <w:shd w:val="clear" w:color="auto" w:fill="FFFFFF"/>
        </w:rPr>
        <w:t xml:space="preserve">QuTUB Project, McGill University, 2019. </w:t>
      </w:r>
      <w:hyperlink r:id="rId15" w:history="1">
        <w:r w:rsidRPr="00F729E1">
          <w:rPr>
            <w:rStyle w:val="Hyperlink"/>
            <w:rFonts w:asciiTheme="minorBidi" w:hAnsiTheme="minorBidi"/>
            <w:sz w:val="24"/>
            <w:szCs w:val="24"/>
          </w:rPr>
          <w:t>https://www.qutubproject.org/resources</w:t>
        </w:r>
      </w:hyperlink>
      <w:r w:rsidRPr="00F729E1">
        <w:rPr>
          <w:rFonts w:asciiTheme="minorBidi" w:hAnsiTheme="minorBidi"/>
          <w:sz w:val="24"/>
          <w:szCs w:val="24"/>
        </w:rPr>
        <w:t>. Date accessed: 2 February 2019.</w:t>
      </w:r>
    </w:p>
    <w:p w14:paraId="458EE830" w14:textId="7E209345" w:rsidR="0020483D" w:rsidRPr="00F729E1" w:rsidRDefault="0092659B" w:rsidP="002E7C39">
      <w:pPr>
        <w:pStyle w:val="ListParagraph"/>
        <w:numPr>
          <w:ilvl w:val="0"/>
          <w:numId w:val="1"/>
        </w:numPr>
        <w:shd w:val="clear" w:color="auto" w:fill="FFFFFF"/>
        <w:spacing w:after="0" w:line="480" w:lineRule="auto"/>
        <w:rPr>
          <w:rFonts w:asciiTheme="minorBidi" w:hAnsiTheme="minorBidi"/>
          <w:sz w:val="24"/>
          <w:szCs w:val="24"/>
        </w:rPr>
      </w:pPr>
      <w:r w:rsidRPr="00F729E1">
        <w:rPr>
          <w:rFonts w:asciiTheme="minorBidi" w:hAnsiTheme="minorBidi"/>
          <w:sz w:val="24"/>
          <w:szCs w:val="24"/>
        </w:rPr>
        <w:t xml:space="preserve">Kwan A, Daniels B, Bergkvist S, et al. Use of standardised patients for healthcare quality research in low- and middle-income countries. </w:t>
      </w:r>
      <w:r w:rsidRPr="00F729E1">
        <w:rPr>
          <w:rFonts w:asciiTheme="minorBidi" w:hAnsiTheme="minorBidi"/>
          <w:i/>
          <w:iCs/>
          <w:sz w:val="24"/>
          <w:szCs w:val="24"/>
        </w:rPr>
        <w:t>BMJ Global Health</w:t>
      </w:r>
      <w:r w:rsidRPr="00F729E1">
        <w:rPr>
          <w:rFonts w:asciiTheme="minorBidi" w:hAnsiTheme="minorBidi"/>
          <w:sz w:val="24"/>
          <w:szCs w:val="24"/>
        </w:rPr>
        <w:t xml:space="preserve"> 2019. doi: </w:t>
      </w:r>
      <w:hyperlink r:id="rId16" w:tgtFrame="_new" w:history="1">
        <w:r w:rsidRPr="00F729E1">
          <w:rPr>
            <w:rStyle w:val="Hyperlink"/>
            <w:rFonts w:asciiTheme="minorBidi" w:eastAsia="Times New Roman" w:hAnsiTheme="minorBidi"/>
            <w:sz w:val="24"/>
            <w:szCs w:val="24"/>
            <w:shd w:val="clear" w:color="auto" w:fill="FFFFFF"/>
          </w:rPr>
          <w:t>10.1136/bmjgh-2019-001669</w:t>
        </w:r>
      </w:hyperlink>
      <w:r w:rsidRPr="00F729E1">
        <w:rPr>
          <w:rFonts w:asciiTheme="minorBidi" w:hAnsiTheme="minorBidi"/>
          <w:sz w:val="24"/>
          <w:szCs w:val="24"/>
        </w:rPr>
        <w:t>.</w:t>
      </w:r>
    </w:p>
    <w:sectPr w:rsidR="0020483D" w:rsidRPr="00F729E1" w:rsidSect="00F83D2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31D9" w14:textId="77777777" w:rsidR="00A8153B" w:rsidRDefault="00A8153B">
      <w:pPr>
        <w:spacing w:after="0" w:line="240" w:lineRule="auto"/>
      </w:pPr>
      <w:r>
        <w:separator/>
      </w:r>
    </w:p>
  </w:endnote>
  <w:endnote w:type="continuationSeparator" w:id="0">
    <w:p w14:paraId="75B3C1F6" w14:textId="77777777" w:rsidR="00A8153B" w:rsidRDefault="00A8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960486"/>
      <w:docPartObj>
        <w:docPartGallery w:val="Page Numbers (Bottom of Page)"/>
        <w:docPartUnique/>
      </w:docPartObj>
    </w:sdtPr>
    <w:sdtEndPr>
      <w:rPr>
        <w:rStyle w:val="PageNumber"/>
      </w:rPr>
    </w:sdtEndPr>
    <w:sdtContent>
      <w:p w14:paraId="5AB3EA05" w14:textId="77777777" w:rsidR="00BA6B8A" w:rsidRDefault="00BA6B8A" w:rsidP="007D5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5A65F" w14:textId="77777777" w:rsidR="00BA6B8A" w:rsidRDefault="00BA6B8A" w:rsidP="00D14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826912"/>
      <w:docPartObj>
        <w:docPartGallery w:val="Page Numbers (Bottom of Page)"/>
        <w:docPartUnique/>
      </w:docPartObj>
    </w:sdtPr>
    <w:sdtEndPr>
      <w:rPr>
        <w:rStyle w:val="PageNumber"/>
      </w:rPr>
    </w:sdtEndPr>
    <w:sdtContent>
      <w:p w14:paraId="55F3F225" w14:textId="77777777" w:rsidR="00BA6B8A" w:rsidRDefault="00BA6B8A" w:rsidP="007D5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D52E1" w14:textId="77777777" w:rsidR="00BA6B8A" w:rsidRDefault="00BA6B8A" w:rsidP="00D14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6231" w14:textId="77777777" w:rsidR="00BA6B8A" w:rsidRDefault="00BA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8E1F" w14:textId="77777777" w:rsidR="00A8153B" w:rsidRDefault="00A8153B">
      <w:pPr>
        <w:spacing w:after="0" w:line="240" w:lineRule="auto"/>
      </w:pPr>
      <w:r>
        <w:separator/>
      </w:r>
    </w:p>
  </w:footnote>
  <w:footnote w:type="continuationSeparator" w:id="0">
    <w:p w14:paraId="50714467" w14:textId="77777777" w:rsidR="00A8153B" w:rsidRDefault="00A8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DBC6" w14:textId="77777777" w:rsidR="00BA6B8A" w:rsidRDefault="00BA6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CE1F" w14:textId="77777777" w:rsidR="00BA6B8A" w:rsidRDefault="00BA6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CF29" w14:textId="77777777" w:rsidR="00BA6B8A" w:rsidRDefault="00BA6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5F8"/>
    <w:multiLevelType w:val="hybridMultilevel"/>
    <w:tmpl w:val="31364F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1F16"/>
    <w:multiLevelType w:val="hybridMultilevel"/>
    <w:tmpl w:val="501E1156"/>
    <w:lvl w:ilvl="0" w:tplc="59882496">
      <w:start w:val="1"/>
      <w:numFmt w:val="decimal"/>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74E35"/>
    <w:multiLevelType w:val="hybridMultilevel"/>
    <w:tmpl w:val="C652A9D0"/>
    <w:lvl w:ilvl="0" w:tplc="59882496">
      <w:start w:val="1"/>
      <w:numFmt w:val="decimal"/>
      <w:lvlText w:val="%1."/>
      <w:lvlJc w:val="left"/>
      <w:pPr>
        <w:ind w:left="63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D5C65"/>
    <w:multiLevelType w:val="hybridMultilevel"/>
    <w:tmpl w:val="92DC9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C1"/>
    <w:rsid w:val="0001418C"/>
    <w:rsid w:val="0006595F"/>
    <w:rsid w:val="00073340"/>
    <w:rsid w:val="00093D2E"/>
    <w:rsid w:val="000D6C6F"/>
    <w:rsid w:val="00124699"/>
    <w:rsid w:val="0012698A"/>
    <w:rsid w:val="00132D06"/>
    <w:rsid w:val="00142C9E"/>
    <w:rsid w:val="001547B4"/>
    <w:rsid w:val="001829B6"/>
    <w:rsid w:val="001A2DD7"/>
    <w:rsid w:val="001A77A9"/>
    <w:rsid w:val="001B25C2"/>
    <w:rsid w:val="001B2B48"/>
    <w:rsid w:val="001E236A"/>
    <w:rsid w:val="001F35E8"/>
    <w:rsid w:val="00200E2D"/>
    <w:rsid w:val="0020483D"/>
    <w:rsid w:val="00213FA5"/>
    <w:rsid w:val="002259C8"/>
    <w:rsid w:val="002573C1"/>
    <w:rsid w:val="00263FC7"/>
    <w:rsid w:val="002667B4"/>
    <w:rsid w:val="00270637"/>
    <w:rsid w:val="00290429"/>
    <w:rsid w:val="00292BF3"/>
    <w:rsid w:val="002D4A75"/>
    <w:rsid w:val="002E2ADE"/>
    <w:rsid w:val="003301FF"/>
    <w:rsid w:val="0033551E"/>
    <w:rsid w:val="0035198C"/>
    <w:rsid w:val="00364FB9"/>
    <w:rsid w:val="003938B7"/>
    <w:rsid w:val="003A1896"/>
    <w:rsid w:val="003A3C59"/>
    <w:rsid w:val="003B59BA"/>
    <w:rsid w:val="003D0B77"/>
    <w:rsid w:val="0040577F"/>
    <w:rsid w:val="00417DFA"/>
    <w:rsid w:val="004420DD"/>
    <w:rsid w:val="00471302"/>
    <w:rsid w:val="0047574B"/>
    <w:rsid w:val="004859CB"/>
    <w:rsid w:val="004875E0"/>
    <w:rsid w:val="004932B1"/>
    <w:rsid w:val="00494BFB"/>
    <w:rsid w:val="004969D0"/>
    <w:rsid w:val="004C318B"/>
    <w:rsid w:val="004F388D"/>
    <w:rsid w:val="004F57D4"/>
    <w:rsid w:val="00512200"/>
    <w:rsid w:val="00542AE3"/>
    <w:rsid w:val="00542D60"/>
    <w:rsid w:val="0055159B"/>
    <w:rsid w:val="00565D5A"/>
    <w:rsid w:val="005721B6"/>
    <w:rsid w:val="00572833"/>
    <w:rsid w:val="00581684"/>
    <w:rsid w:val="005A4C47"/>
    <w:rsid w:val="005C4423"/>
    <w:rsid w:val="005F161B"/>
    <w:rsid w:val="005F5D6E"/>
    <w:rsid w:val="00601BBB"/>
    <w:rsid w:val="00612D75"/>
    <w:rsid w:val="006200E8"/>
    <w:rsid w:val="00657436"/>
    <w:rsid w:val="006A4E2E"/>
    <w:rsid w:val="006D6B23"/>
    <w:rsid w:val="00745D7F"/>
    <w:rsid w:val="007621FF"/>
    <w:rsid w:val="0077178C"/>
    <w:rsid w:val="00794C37"/>
    <w:rsid w:val="007A507A"/>
    <w:rsid w:val="007B57F3"/>
    <w:rsid w:val="007D7941"/>
    <w:rsid w:val="00821EEC"/>
    <w:rsid w:val="00827220"/>
    <w:rsid w:val="0083501B"/>
    <w:rsid w:val="00851D0A"/>
    <w:rsid w:val="008A4BFC"/>
    <w:rsid w:val="008B398D"/>
    <w:rsid w:val="008B543A"/>
    <w:rsid w:val="00902C4D"/>
    <w:rsid w:val="0092659B"/>
    <w:rsid w:val="00956D2A"/>
    <w:rsid w:val="00966FFF"/>
    <w:rsid w:val="00992E22"/>
    <w:rsid w:val="00995CF4"/>
    <w:rsid w:val="009D3D3B"/>
    <w:rsid w:val="009E2FF4"/>
    <w:rsid w:val="009E360B"/>
    <w:rsid w:val="00A36B2A"/>
    <w:rsid w:val="00A66C8B"/>
    <w:rsid w:val="00A8153B"/>
    <w:rsid w:val="00A855FB"/>
    <w:rsid w:val="00A936D3"/>
    <w:rsid w:val="00AA474E"/>
    <w:rsid w:val="00AB4965"/>
    <w:rsid w:val="00AD61F5"/>
    <w:rsid w:val="00AE045D"/>
    <w:rsid w:val="00AE37F2"/>
    <w:rsid w:val="00B0695B"/>
    <w:rsid w:val="00B07C14"/>
    <w:rsid w:val="00B469A8"/>
    <w:rsid w:val="00B476F4"/>
    <w:rsid w:val="00B518B6"/>
    <w:rsid w:val="00BA6B8A"/>
    <w:rsid w:val="00BB33B4"/>
    <w:rsid w:val="00BC17BC"/>
    <w:rsid w:val="00BD060F"/>
    <w:rsid w:val="00BF3765"/>
    <w:rsid w:val="00C578DE"/>
    <w:rsid w:val="00C74C87"/>
    <w:rsid w:val="00C96140"/>
    <w:rsid w:val="00CA7264"/>
    <w:rsid w:val="00CB6C04"/>
    <w:rsid w:val="00CE6653"/>
    <w:rsid w:val="00D46DFB"/>
    <w:rsid w:val="00D73B32"/>
    <w:rsid w:val="00D8173C"/>
    <w:rsid w:val="00DA09DA"/>
    <w:rsid w:val="00DA3A16"/>
    <w:rsid w:val="00DB39F4"/>
    <w:rsid w:val="00DB4D88"/>
    <w:rsid w:val="00DC5EDC"/>
    <w:rsid w:val="00DC6579"/>
    <w:rsid w:val="00DE0F4C"/>
    <w:rsid w:val="00DE5481"/>
    <w:rsid w:val="00DE7AF9"/>
    <w:rsid w:val="00E068A4"/>
    <w:rsid w:val="00E1162C"/>
    <w:rsid w:val="00E33800"/>
    <w:rsid w:val="00E4148B"/>
    <w:rsid w:val="00E53824"/>
    <w:rsid w:val="00E631D1"/>
    <w:rsid w:val="00E64C93"/>
    <w:rsid w:val="00E66421"/>
    <w:rsid w:val="00E75E73"/>
    <w:rsid w:val="00EB3CE8"/>
    <w:rsid w:val="00EC2B66"/>
    <w:rsid w:val="00EE3106"/>
    <w:rsid w:val="00F4562C"/>
    <w:rsid w:val="00F508AC"/>
    <w:rsid w:val="00F55CE6"/>
    <w:rsid w:val="00F6209A"/>
    <w:rsid w:val="00F66A90"/>
    <w:rsid w:val="00F729E1"/>
    <w:rsid w:val="00F82538"/>
    <w:rsid w:val="00F83D2C"/>
    <w:rsid w:val="00FB5580"/>
    <w:rsid w:val="00FC2386"/>
    <w:rsid w:val="00FC3FD6"/>
    <w:rsid w:val="00FC6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523BE7"/>
  <w15:chartTrackingRefBased/>
  <w15:docId w15:val="{F3FF4861-1861-457B-9E1C-754CAA44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FF"/>
  </w:style>
  <w:style w:type="paragraph" w:styleId="Heading1">
    <w:name w:val="heading 1"/>
    <w:basedOn w:val="Normal"/>
    <w:next w:val="Normal"/>
    <w:link w:val="Heading1Char"/>
    <w:uiPriority w:val="9"/>
    <w:qFormat/>
    <w:rsid w:val="002573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3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8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3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3C1"/>
    <w:rPr>
      <w:rFonts w:asciiTheme="majorHAnsi" w:eastAsiaTheme="majorEastAsia" w:hAnsiTheme="majorHAnsi" w:cstheme="majorBidi"/>
      <w:color w:val="2F5496" w:themeColor="accent1" w:themeShade="BF"/>
      <w:sz w:val="26"/>
      <w:szCs w:val="26"/>
    </w:rPr>
  </w:style>
  <w:style w:type="paragraph" w:customStyle="1" w:styleId="SPBodyText">
    <w:name w:val="SP Body Text"/>
    <w:link w:val="SPBodyTextChar"/>
    <w:qFormat/>
    <w:rsid w:val="002573C1"/>
    <w:pPr>
      <w:tabs>
        <w:tab w:val="left" w:pos="2610"/>
      </w:tabs>
      <w:spacing w:before="160" w:line="240" w:lineRule="auto"/>
    </w:pPr>
    <w:rPr>
      <w:rFonts w:ascii="Arial" w:eastAsia="Times New Roman" w:hAnsi="Arial" w:cs="Times New Roman"/>
      <w:szCs w:val="20"/>
    </w:rPr>
  </w:style>
  <w:style w:type="character" w:customStyle="1" w:styleId="SPBodyTextChar">
    <w:name w:val="SP Body Text Char"/>
    <w:basedOn w:val="DefaultParagraphFont"/>
    <w:link w:val="SPBodyText"/>
    <w:rsid w:val="002573C1"/>
    <w:rPr>
      <w:rFonts w:ascii="Arial" w:eastAsia="Times New Roman" w:hAnsi="Arial" w:cs="Times New Roman"/>
      <w:szCs w:val="20"/>
    </w:rPr>
  </w:style>
  <w:style w:type="paragraph" w:styleId="ListParagraph">
    <w:name w:val="List Paragraph"/>
    <w:basedOn w:val="Normal"/>
    <w:link w:val="ListParagraphChar"/>
    <w:uiPriority w:val="34"/>
    <w:qFormat/>
    <w:rsid w:val="002573C1"/>
    <w:pPr>
      <w:spacing w:after="200" w:line="276" w:lineRule="auto"/>
      <w:ind w:left="720"/>
      <w:contextualSpacing/>
    </w:pPr>
  </w:style>
  <w:style w:type="character" w:customStyle="1" w:styleId="ListParagraphChar">
    <w:name w:val="List Paragraph Char"/>
    <w:link w:val="ListParagraph"/>
    <w:uiPriority w:val="34"/>
    <w:rsid w:val="002573C1"/>
  </w:style>
  <w:style w:type="character" w:styleId="Hyperlink">
    <w:name w:val="Hyperlink"/>
    <w:basedOn w:val="DefaultParagraphFont"/>
    <w:uiPriority w:val="99"/>
    <w:unhideWhenUsed/>
    <w:qFormat/>
    <w:rsid w:val="002573C1"/>
    <w:rPr>
      <w:color w:val="0000FF"/>
      <w:u w:val="single"/>
    </w:rPr>
  </w:style>
  <w:style w:type="paragraph" w:customStyle="1" w:styleId="FootnoteBase">
    <w:name w:val="Footnote Base"/>
    <w:basedOn w:val="Normal"/>
    <w:rsid w:val="002573C1"/>
    <w:pPr>
      <w:keepLines/>
      <w:spacing w:after="0" w:line="200" w:lineRule="atLeast"/>
      <w:ind w:left="180" w:hanging="180"/>
    </w:pPr>
    <w:rPr>
      <w:rFonts w:ascii="Arial" w:eastAsia="Times New Roman" w:hAnsi="Arial" w:cs="Times New Roman"/>
      <w:spacing w:val="-5"/>
      <w:sz w:val="16"/>
      <w:szCs w:val="20"/>
    </w:rPr>
  </w:style>
  <w:style w:type="paragraph" w:customStyle="1" w:styleId="EndNoteBibliography">
    <w:name w:val="EndNote Bibliography"/>
    <w:basedOn w:val="Normal"/>
    <w:link w:val="EndNoteBibliographyChar"/>
    <w:rsid w:val="002573C1"/>
    <w:pPr>
      <w:adjustRightInd w:val="0"/>
      <w:spacing w:after="0" w:line="240" w:lineRule="auto"/>
      <w:ind w:firstLine="567"/>
    </w:pPr>
    <w:rPr>
      <w:rFonts w:ascii="Times New Roman" w:eastAsia="Times New Roman" w:hAnsi="Times New Roman" w:cs="Times New Roman"/>
      <w:noProof/>
      <w:sz w:val="24"/>
      <w:szCs w:val="24"/>
      <w:lang w:eastAsia="ko-KR"/>
    </w:rPr>
  </w:style>
  <w:style w:type="character" w:customStyle="1" w:styleId="EndNoteBibliographyChar">
    <w:name w:val="EndNote Bibliography Char"/>
    <w:basedOn w:val="DefaultParagraphFont"/>
    <w:link w:val="EndNoteBibliography"/>
    <w:rsid w:val="002573C1"/>
    <w:rPr>
      <w:rFonts w:ascii="Times New Roman" w:eastAsia="Times New Roman" w:hAnsi="Times New Roman" w:cs="Times New Roman"/>
      <w:noProof/>
      <w:sz w:val="24"/>
      <w:szCs w:val="24"/>
      <w:lang w:eastAsia="ko-KR"/>
    </w:rPr>
  </w:style>
  <w:style w:type="character" w:styleId="CommentReference">
    <w:name w:val="annotation reference"/>
    <w:basedOn w:val="DefaultParagraphFont"/>
    <w:uiPriority w:val="99"/>
    <w:semiHidden/>
    <w:unhideWhenUsed/>
    <w:rsid w:val="002573C1"/>
    <w:rPr>
      <w:sz w:val="16"/>
      <w:szCs w:val="16"/>
    </w:rPr>
  </w:style>
  <w:style w:type="paragraph" w:styleId="CommentText">
    <w:name w:val="annotation text"/>
    <w:basedOn w:val="Normal"/>
    <w:link w:val="CommentTextChar"/>
    <w:uiPriority w:val="99"/>
    <w:unhideWhenUsed/>
    <w:rsid w:val="002573C1"/>
    <w:pPr>
      <w:spacing w:line="240" w:lineRule="auto"/>
    </w:pPr>
    <w:rPr>
      <w:sz w:val="20"/>
      <w:szCs w:val="20"/>
    </w:rPr>
  </w:style>
  <w:style w:type="character" w:customStyle="1" w:styleId="CommentTextChar">
    <w:name w:val="Comment Text Char"/>
    <w:basedOn w:val="DefaultParagraphFont"/>
    <w:link w:val="CommentText"/>
    <w:uiPriority w:val="99"/>
    <w:rsid w:val="002573C1"/>
    <w:rPr>
      <w:sz w:val="20"/>
      <w:szCs w:val="20"/>
    </w:rPr>
  </w:style>
  <w:style w:type="paragraph" w:styleId="Footer">
    <w:name w:val="footer"/>
    <w:basedOn w:val="Normal"/>
    <w:link w:val="FooterChar"/>
    <w:uiPriority w:val="99"/>
    <w:unhideWhenUsed/>
    <w:rsid w:val="0025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C1"/>
  </w:style>
  <w:style w:type="character" w:styleId="PageNumber">
    <w:name w:val="page number"/>
    <w:basedOn w:val="DefaultParagraphFont"/>
    <w:uiPriority w:val="99"/>
    <w:semiHidden/>
    <w:unhideWhenUsed/>
    <w:rsid w:val="002573C1"/>
  </w:style>
  <w:style w:type="character" w:styleId="UnresolvedMention">
    <w:name w:val="Unresolved Mention"/>
    <w:basedOn w:val="DefaultParagraphFont"/>
    <w:uiPriority w:val="99"/>
    <w:semiHidden/>
    <w:unhideWhenUsed/>
    <w:rsid w:val="00BD060F"/>
    <w:rPr>
      <w:color w:val="605E5C"/>
      <w:shd w:val="clear" w:color="auto" w:fill="E1DFDD"/>
    </w:rPr>
  </w:style>
  <w:style w:type="paragraph" w:styleId="NormalWeb">
    <w:name w:val="Normal (Web)"/>
    <w:basedOn w:val="Normal"/>
    <w:uiPriority w:val="99"/>
    <w:unhideWhenUsed/>
    <w:rsid w:val="00BD0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A1896"/>
    <w:rPr>
      <w:rFonts w:asciiTheme="majorHAnsi" w:eastAsiaTheme="majorEastAsia" w:hAnsiTheme="majorHAnsi" w:cstheme="majorBidi"/>
      <w:color w:val="1F3763" w:themeColor="accent1" w:themeShade="7F"/>
      <w:sz w:val="24"/>
      <w:szCs w:val="24"/>
    </w:rPr>
  </w:style>
  <w:style w:type="paragraph" w:customStyle="1" w:styleId="FigureTitle">
    <w:name w:val="Figure Title"/>
    <w:uiPriority w:val="1"/>
    <w:qFormat/>
    <w:rsid w:val="0040577F"/>
    <w:pPr>
      <w:spacing w:before="120" w:after="120" w:line="240" w:lineRule="auto"/>
      <w:jc w:val="center"/>
    </w:pPr>
    <w:rPr>
      <w:rFonts w:ascii="Arial Bold" w:eastAsia="Times New Roman" w:hAnsi="Arial Bold" w:cs="Times New Roman"/>
      <w:b/>
      <w:bCs/>
      <w:noProof/>
      <w:color w:val="002F6C"/>
      <w:sz w:val="24"/>
      <w:szCs w:val="20"/>
    </w:rPr>
  </w:style>
  <w:style w:type="paragraph" w:styleId="CommentSubject">
    <w:name w:val="annotation subject"/>
    <w:basedOn w:val="CommentText"/>
    <w:next w:val="CommentText"/>
    <w:link w:val="CommentSubjectChar"/>
    <w:uiPriority w:val="99"/>
    <w:semiHidden/>
    <w:unhideWhenUsed/>
    <w:rsid w:val="00EE3106"/>
    <w:rPr>
      <w:b/>
      <w:bCs/>
    </w:rPr>
  </w:style>
  <w:style w:type="character" w:customStyle="1" w:styleId="CommentSubjectChar">
    <w:name w:val="Comment Subject Char"/>
    <w:basedOn w:val="CommentTextChar"/>
    <w:link w:val="CommentSubject"/>
    <w:uiPriority w:val="99"/>
    <w:semiHidden/>
    <w:rsid w:val="00EE3106"/>
    <w:rPr>
      <w:b/>
      <w:bCs/>
      <w:sz w:val="20"/>
      <w:szCs w:val="20"/>
    </w:rPr>
  </w:style>
  <w:style w:type="paragraph" w:styleId="Header">
    <w:name w:val="header"/>
    <w:basedOn w:val="Normal"/>
    <w:link w:val="HeaderChar"/>
    <w:uiPriority w:val="99"/>
    <w:unhideWhenUsed/>
    <w:rsid w:val="00B4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6F4"/>
  </w:style>
  <w:style w:type="character" w:styleId="LineNumber">
    <w:name w:val="line number"/>
    <w:basedOn w:val="DefaultParagraphFont"/>
    <w:uiPriority w:val="99"/>
    <w:semiHidden/>
    <w:unhideWhenUsed/>
    <w:rsid w:val="00F8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3918">
      <w:bodyDiv w:val="1"/>
      <w:marLeft w:val="0"/>
      <w:marRight w:val="0"/>
      <w:marTop w:val="0"/>
      <w:marBottom w:val="0"/>
      <w:divBdr>
        <w:top w:val="none" w:sz="0" w:space="0" w:color="auto"/>
        <w:left w:val="none" w:sz="0" w:space="0" w:color="auto"/>
        <w:bottom w:val="none" w:sz="0" w:space="0" w:color="auto"/>
        <w:right w:val="none" w:sz="0" w:space="0" w:color="auto"/>
      </w:divBdr>
    </w:div>
    <w:div w:id="399720608">
      <w:bodyDiv w:val="1"/>
      <w:marLeft w:val="0"/>
      <w:marRight w:val="0"/>
      <w:marTop w:val="0"/>
      <w:marBottom w:val="0"/>
      <w:divBdr>
        <w:top w:val="none" w:sz="0" w:space="0" w:color="auto"/>
        <w:left w:val="none" w:sz="0" w:space="0" w:color="auto"/>
        <w:bottom w:val="none" w:sz="0" w:space="0" w:color="auto"/>
        <w:right w:val="none" w:sz="0" w:space="0" w:color="auto"/>
      </w:divBdr>
    </w:div>
    <w:div w:id="544953923">
      <w:bodyDiv w:val="1"/>
      <w:marLeft w:val="0"/>
      <w:marRight w:val="0"/>
      <w:marTop w:val="0"/>
      <w:marBottom w:val="0"/>
      <w:divBdr>
        <w:top w:val="none" w:sz="0" w:space="0" w:color="auto"/>
        <w:left w:val="none" w:sz="0" w:space="0" w:color="auto"/>
        <w:bottom w:val="none" w:sz="0" w:space="0" w:color="auto"/>
        <w:right w:val="none" w:sz="0" w:space="0" w:color="auto"/>
      </w:divBdr>
    </w:div>
    <w:div w:id="797920954">
      <w:bodyDiv w:val="1"/>
      <w:marLeft w:val="0"/>
      <w:marRight w:val="0"/>
      <w:marTop w:val="0"/>
      <w:marBottom w:val="0"/>
      <w:divBdr>
        <w:top w:val="none" w:sz="0" w:space="0" w:color="auto"/>
        <w:left w:val="none" w:sz="0" w:space="0" w:color="auto"/>
        <w:bottom w:val="none" w:sz="0" w:space="0" w:color="auto"/>
        <w:right w:val="none" w:sz="0" w:space="0" w:color="auto"/>
      </w:divBdr>
    </w:div>
    <w:div w:id="843981898">
      <w:bodyDiv w:val="1"/>
      <w:marLeft w:val="0"/>
      <w:marRight w:val="0"/>
      <w:marTop w:val="0"/>
      <w:marBottom w:val="0"/>
      <w:divBdr>
        <w:top w:val="none" w:sz="0" w:space="0" w:color="auto"/>
        <w:left w:val="none" w:sz="0" w:space="0" w:color="auto"/>
        <w:bottom w:val="none" w:sz="0" w:space="0" w:color="auto"/>
        <w:right w:val="none" w:sz="0" w:space="0" w:color="auto"/>
      </w:divBdr>
    </w:div>
    <w:div w:id="1179271591">
      <w:bodyDiv w:val="1"/>
      <w:marLeft w:val="0"/>
      <w:marRight w:val="0"/>
      <w:marTop w:val="0"/>
      <w:marBottom w:val="0"/>
      <w:divBdr>
        <w:top w:val="none" w:sz="0" w:space="0" w:color="auto"/>
        <w:left w:val="none" w:sz="0" w:space="0" w:color="auto"/>
        <w:bottom w:val="none" w:sz="0" w:space="0" w:color="auto"/>
        <w:right w:val="none" w:sz="0" w:space="0" w:color="auto"/>
      </w:divBdr>
    </w:div>
    <w:div w:id="1230379712">
      <w:bodyDiv w:val="1"/>
      <w:marLeft w:val="0"/>
      <w:marRight w:val="0"/>
      <w:marTop w:val="0"/>
      <w:marBottom w:val="0"/>
      <w:divBdr>
        <w:top w:val="none" w:sz="0" w:space="0" w:color="auto"/>
        <w:left w:val="none" w:sz="0" w:space="0" w:color="auto"/>
        <w:bottom w:val="none" w:sz="0" w:space="0" w:color="auto"/>
        <w:right w:val="none" w:sz="0" w:space="0" w:color="auto"/>
      </w:divBdr>
    </w:div>
    <w:div w:id="1398170089">
      <w:bodyDiv w:val="1"/>
      <w:marLeft w:val="0"/>
      <w:marRight w:val="0"/>
      <w:marTop w:val="0"/>
      <w:marBottom w:val="0"/>
      <w:divBdr>
        <w:top w:val="none" w:sz="0" w:space="0" w:color="auto"/>
        <w:left w:val="none" w:sz="0" w:space="0" w:color="auto"/>
        <w:bottom w:val="none" w:sz="0" w:space="0" w:color="auto"/>
        <w:right w:val="none" w:sz="0" w:space="0" w:color="auto"/>
      </w:divBdr>
    </w:div>
    <w:div w:id="1511139491">
      <w:bodyDiv w:val="1"/>
      <w:marLeft w:val="0"/>
      <w:marRight w:val="0"/>
      <w:marTop w:val="0"/>
      <w:marBottom w:val="0"/>
      <w:divBdr>
        <w:top w:val="none" w:sz="0" w:space="0" w:color="auto"/>
        <w:left w:val="none" w:sz="0" w:space="0" w:color="auto"/>
        <w:bottom w:val="none" w:sz="0" w:space="0" w:color="auto"/>
        <w:right w:val="none" w:sz="0" w:space="0" w:color="auto"/>
      </w:divBdr>
    </w:div>
    <w:div w:id="1606838444">
      <w:bodyDiv w:val="1"/>
      <w:marLeft w:val="0"/>
      <w:marRight w:val="0"/>
      <w:marTop w:val="0"/>
      <w:marBottom w:val="0"/>
      <w:divBdr>
        <w:top w:val="none" w:sz="0" w:space="0" w:color="auto"/>
        <w:left w:val="none" w:sz="0" w:space="0" w:color="auto"/>
        <w:bottom w:val="none" w:sz="0" w:space="0" w:color="auto"/>
        <w:right w:val="none" w:sz="0" w:space="0" w:color="auto"/>
      </w:divBdr>
    </w:div>
    <w:div w:id="20415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36/bmjgh-2017-00033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oi.org/10.1371/journal.pmed.100240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x.doi.org/10.1136/bmjgh-2019-00166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fr.health.gov.ng/facilities/hospitals-lis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tubproject.org/resour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x.doi.org/10.3390%2Fijerph1504072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8B962998E0384795D41DC0D8229D03" ma:contentTypeVersion="7" ma:contentTypeDescription="Create a new document." ma:contentTypeScope="" ma:versionID="3f677b4497a06709331afdb86d16b322">
  <xsd:schema xmlns:xsd="http://www.w3.org/2001/XMLSchema" xmlns:xs="http://www.w3.org/2001/XMLSchema" xmlns:p="http://schemas.microsoft.com/office/2006/metadata/properties" xmlns:ns3="72653c13-9e7e-47ea-9535-e6cdca60b36b" xmlns:ns4="1abf590a-1d2f-4ba2-af34-3613b97f04c0" targetNamespace="http://schemas.microsoft.com/office/2006/metadata/properties" ma:root="true" ma:fieldsID="43f17105ef56013989f87e181662599b" ns3:_="" ns4:_="">
    <xsd:import namespace="72653c13-9e7e-47ea-9535-e6cdca60b36b"/>
    <xsd:import namespace="1abf590a-1d2f-4ba2-af34-3613b97f04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53c13-9e7e-47ea-9535-e6cdca60b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f590a-1d2f-4ba2-af34-3613b97f0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B7488-56DA-4095-9A4C-3EC301B144AD}">
  <ds:schemaRefs>
    <ds:schemaRef ds:uri="http://schemas.openxmlformats.org/officeDocument/2006/bibliography"/>
  </ds:schemaRefs>
</ds:datastoreItem>
</file>

<file path=customXml/itemProps2.xml><?xml version="1.0" encoding="utf-8"?>
<ds:datastoreItem xmlns:ds="http://schemas.openxmlformats.org/officeDocument/2006/customXml" ds:itemID="{0BB8016F-589C-4A70-ADAE-512416637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040F6-C08C-4387-B396-FA5F55AF3577}">
  <ds:schemaRefs>
    <ds:schemaRef ds:uri="http://schemas.microsoft.com/sharepoint/v3/contenttype/forms"/>
  </ds:schemaRefs>
</ds:datastoreItem>
</file>

<file path=customXml/itemProps4.xml><?xml version="1.0" encoding="utf-8"?>
<ds:datastoreItem xmlns:ds="http://schemas.openxmlformats.org/officeDocument/2006/customXml" ds:itemID="{6AA22C69-1B1A-48A2-9EA5-00931AE9F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53c13-9e7e-47ea-9535-e6cdca60b36b"/>
    <ds:schemaRef ds:uri="1abf590a-1d2f-4ba2-af34-3613b97f0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Rosapep</dc:creator>
  <cp:keywords/>
  <dc:description/>
  <cp:lastModifiedBy>Lauren Rosapep</cp:lastModifiedBy>
  <cp:revision>5</cp:revision>
  <dcterms:created xsi:type="dcterms:W3CDTF">2021-07-19T19:05:00Z</dcterms:created>
  <dcterms:modified xsi:type="dcterms:W3CDTF">2021-11-03T20:36:00Z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0x010100188B962998E0384795D41DC0D8229D03</vt:lpwstr>
  </property>
</Properties>
</file>