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5656" w14:textId="5B7BA859" w:rsidR="00015339" w:rsidRPr="00A0615D" w:rsidRDefault="00015339">
      <w:pPr>
        <w:rPr>
          <w:rFonts w:ascii="Times New Roman" w:hAnsi="Times New Roman" w:cs="Times New Roman"/>
          <w:b/>
          <w:bCs/>
          <w:lang w:val="en-US"/>
        </w:rPr>
      </w:pPr>
      <w:r w:rsidRPr="00A0615D">
        <w:rPr>
          <w:rFonts w:ascii="Times New Roman" w:hAnsi="Times New Roman" w:cs="Times New Roman"/>
          <w:b/>
          <w:bCs/>
          <w:lang w:val="en-US"/>
        </w:rPr>
        <w:t xml:space="preserve">Supplementary Table 2. Demographic and ocular characteristics of participants in </w:t>
      </w:r>
      <w:r w:rsidR="004E4033">
        <w:rPr>
          <w:rFonts w:ascii="Times New Roman" w:hAnsi="Times New Roman" w:cs="Times New Roman"/>
          <w:b/>
          <w:bCs/>
          <w:lang w:val="en-US"/>
        </w:rPr>
        <w:t>SEED</w:t>
      </w:r>
      <w:r w:rsidR="004E4033" w:rsidRPr="00A0615D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0615D">
        <w:rPr>
          <w:rFonts w:ascii="Times New Roman" w:hAnsi="Times New Roman" w:cs="Times New Roman"/>
          <w:b/>
          <w:bCs/>
          <w:lang w:val="en-US"/>
        </w:rPr>
        <w:t xml:space="preserve">and the ISF study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7"/>
        <w:gridCol w:w="2293"/>
        <w:gridCol w:w="2289"/>
        <w:gridCol w:w="2289"/>
        <w:gridCol w:w="2289"/>
      </w:tblGrid>
      <w:tr w:rsidR="004E4033" w14:paraId="7AD91D62" w14:textId="77777777" w:rsidTr="00141979">
        <w:trPr>
          <w:trHeight w:val="283"/>
        </w:trPr>
        <w:tc>
          <w:tcPr>
            <w:tcW w:w="3347" w:type="dxa"/>
          </w:tcPr>
          <w:p w14:paraId="583108F3" w14:textId="77777777" w:rsidR="004E4033" w:rsidRDefault="004E4033" w:rsidP="009A4E81">
            <w:pPr>
              <w:rPr>
                <w:lang w:val="en-US"/>
              </w:rPr>
            </w:pPr>
          </w:p>
        </w:tc>
        <w:tc>
          <w:tcPr>
            <w:tcW w:w="2293" w:type="dxa"/>
            <w:shd w:val="clear" w:color="auto" w:fill="DDD9C3" w:themeFill="background2" w:themeFillShade="E6"/>
          </w:tcPr>
          <w:p w14:paraId="6C3145BD" w14:textId="77777777" w:rsidR="004E4033" w:rsidRPr="00995B15" w:rsidRDefault="004E4033" w:rsidP="009A4E81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995B15">
              <w:rPr>
                <w:b/>
                <w:bCs/>
                <w:lang w:val="en-US"/>
              </w:rPr>
              <w:t>SiMES</w:t>
            </w:r>
            <w:proofErr w:type="spellEnd"/>
          </w:p>
        </w:tc>
        <w:tc>
          <w:tcPr>
            <w:tcW w:w="2289" w:type="dxa"/>
            <w:shd w:val="clear" w:color="auto" w:fill="DDD9C3" w:themeFill="background2" w:themeFillShade="E6"/>
          </w:tcPr>
          <w:p w14:paraId="1B7723E4" w14:textId="75096E82" w:rsidR="004E4033" w:rsidRPr="00995B15" w:rsidRDefault="004E4033" w:rsidP="009A4E8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SCES</w:t>
            </w:r>
          </w:p>
        </w:tc>
        <w:tc>
          <w:tcPr>
            <w:tcW w:w="2289" w:type="dxa"/>
            <w:shd w:val="clear" w:color="auto" w:fill="DDD9C3" w:themeFill="background2" w:themeFillShade="E6"/>
          </w:tcPr>
          <w:p w14:paraId="43143E4D" w14:textId="3E973942" w:rsidR="004E4033" w:rsidRPr="00995B15" w:rsidRDefault="004E4033" w:rsidP="009A4E8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SINDI</w:t>
            </w:r>
          </w:p>
        </w:tc>
        <w:tc>
          <w:tcPr>
            <w:tcW w:w="2289" w:type="dxa"/>
            <w:shd w:val="clear" w:color="auto" w:fill="DDD9C3" w:themeFill="background2" w:themeFillShade="E6"/>
          </w:tcPr>
          <w:p w14:paraId="394D6057" w14:textId="2C11D48F" w:rsidR="004E4033" w:rsidRPr="00995B15" w:rsidRDefault="004E4033" w:rsidP="009A4E81">
            <w:pPr>
              <w:jc w:val="center"/>
              <w:rPr>
                <w:b/>
                <w:bCs/>
                <w:lang w:val="en-US"/>
              </w:rPr>
            </w:pPr>
            <w:r w:rsidRPr="00995B15">
              <w:rPr>
                <w:b/>
                <w:bCs/>
                <w:lang w:val="en-US"/>
              </w:rPr>
              <w:t>ISF study</w:t>
            </w:r>
          </w:p>
        </w:tc>
      </w:tr>
      <w:tr w:rsidR="004E4033" w14:paraId="5DAA7F7C" w14:textId="77777777" w:rsidTr="00141979">
        <w:trPr>
          <w:trHeight w:val="268"/>
        </w:trPr>
        <w:tc>
          <w:tcPr>
            <w:tcW w:w="3347" w:type="dxa"/>
          </w:tcPr>
          <w:p w14:paraId="764936C7" w14:textId="77777777" w:rsidR="004E4033" w:rsidRDefault="004E4033" w:rsidP="009A4E81">
            <w:pPr>
              <w:rPr>
                <w:lang w:val="en-US"/>
              </w:rPr>
            </w:pPr>
            <w:r>
              <w:rPr>
                <w:lang w:val="en-US"/>
              </w:rPr>
              <w:t>Participants (N)</w:t>
            </w:r>
          </w:p>
        </w:tc>
        <w:tc>
          <w:tcPr>
            <w:tcW w:w="2293" w:type="dxa"/>
          </w:tcPr>
          <w:p w14:paraId="71C76BFF" w14:textId="77777777" w:rsidR="004E4033" w:rsidRDefault="004E4033" w:rsidP="009A4E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943</w:t>
            </w:r>
          </w:p>
        </w:tc>
        <w:tc>
          <w:tcPr>
            <w:tcW w:w="2289" w:type="dxa"/>
          </w:tcPr>
          <w:p w14:paraId="14716C1F" w14:textId="6FBD3AC8" w:rsidR="004E4033" w:rsidRDefault="00136D44" w:rsidP="009A4E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257</w:t>
            </w:r>
          </w:p>
        </w:tc>
        <w:tc>
          <w:tcPr>
            <w:tcW w:w="2289" w:type="dxa"/>
          </w:tcPr>
          <w:p w14:paraId="70EBBC27" w14:textId="4FC9472A" w:rsidR="004E4033" w:rsidRDefault="00136D44" w:rsidP="009A4E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163</w:t>
            </w:r>
          </w:p>
        </w:tc>
        <w:tc>
          <w:tcPr>
            <w:tcW w:w="2289" w:type="dxa"/>
          </w:tcPr>
          <w:p w14:paraId="0A8711A6" w14:textId="7AA6ED54" w:rsidR="004E4033" w:rsidRDefault="004E4033" w:rsidP="009A4E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343</w:t>
            </w:r>
          </w:p>
        </w:tc>
      </w:tr>
      <w:tr w:rsidR="004E4033" w14:paraId="7146A257" w14:textId="77777777" w:rsidTr="00141979">
        <w:trPr>
          <w:trHeight w:val="283"/>
        </w:trPr>
        <w:tc>
          <w:tcPr>
            <w:tcW w:w="3347" w:type="dxa"/>
          </w:tcPr>
          <w:p w14:paraId="70E99781" w14:textId="77777777" w:rsidR="004E4033" w:rsidRDefault="004E4033" w:rsidP="009A4E81">
            <w:pPr>
              <w:rPr>
                <w:lang w:val="en-US"/>
              </w:rPr>
            </w:pPr>
            <w:r>
              <w:rPr>
                <w:lang w:val="en-US"/>
              </w:rPr>
              <w:t>Age (years)</w:t>
            </w:r>
          </w:p>
        </w:tc>
        <w:tc>
          <w:tcPr>
            <w:tcW w:w="2293" w:type="dxa"/>
          </w:tcPr>
          <w:p w14:paraId="4C661970" w14:textId="77777777" w:rsidR="004E4033" w:rsidRDefault="004E4033" w:rsidP="009A4E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64.7 (8.1)</w:t>
            </w:r>
          </w:p>
        </w:tc>
        <w:tc>
          <w:tcPr>
            <w:tcW w:w="2289" w:type="dxa"/>
          </w:tcPr>
          <w:p w14:paraId="612A8A03" w14:textId="713678BA" w:rsidR="004E4033" w:rsidRDefault="00136D44" w:rsidP="009A4E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61.5 (7.7)</w:t>
            </w:r>
          </w:p>
        </w:tc>
        <w:tc>
          <w:tcPr>
            <w:tcW w:w="2289" w:type="dxa"/>
          </w:tcPr>
          <w:p w14:paraId="338FE624" w14:textId="5D40C4E6" w:rsidR="004E4033" w:rsidRDefault="00136D44" w:rsidP="009A4E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60.2 (6.6)</w:t>
            </w:r>
          </w:p>
        </w:tc>
        <w:tc>
          <w:tcPr>
            <w:tcW w:w="2289" w:type="dxa"/>
          </w:tcPr>
          <w:p w14:paraId="03EAB4FC" w14:textId="1E9E2220" w:rsidR="004E4033" w:rsidRDefault="004E4033" w:rsidP="009A4E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66.3 (7.5)</w:t>
            </w:r>
          </w:p>
        </w:tc>
      </w:tr>
      <w:tr w:rsidR="004E4033" w14:paraId="4F2EC8F3" w14:textId="77777777" w:rsidTr="00141979">
        <w:trPr>
          <w:trHeight w:val="268"/>
        </w:trPr>
        <w:tc>
          <w:tcPr>
            <w:tcW w:w="3347" w:type="dxa"/>
          </w:tcPr>
          <w:p w14:paraId="3DCEDA5E" w14:textId="77777777" w:rsidR="004E4033" w:rsidRDefault="004E4033" w:rsidP="009A4E81">
            <w:pPr>
              <w:rPr>
                <w:lang w:val="en-US"/>
              </w:rPr>
            </w:pPr>
            <w:r>
              <w:rPr>
                <w:lang w:val="en-US"/>
              </w:rPr>
              <w:t>Gender (Male, %)</w:t>
            </w:r>
          </w:p>
        </w:tc>
        <w:tc>
          <w:tcPr>
            <w:tcW w:w="2293" w:type="dxa"/>
          </w:tcPr>
          <w:p w14:paraId="439C1E3E" w14:textId="77777777" w:rsidR="004E4033" w:rsidRDefault="004E4033" w:rsidP="009A4E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434 (46.0)</w:t>
            </w:r>
          </w:p>
        </w:tc>
        <w:tc>
          <w:tcPr>
            <w:tcW w:w="2289" w:type="dxa"/>
          </w:tcPr>
          <w:p w14:paraId="12CBB8A9" w14:textId="53CC10E5" w:rsidR="004E4033" w:rsidRDefault="00136D44" w:rsidP="009A4E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 (47.9)</w:t>
            </w:r>
          </w:p>
        </w:tc>
        <w:tc>
          <w:tcPr>
            <w:tcW w:w="2289" w:type="dxa"/>
          </w:tcPr>
          <w:p w14:paraId="75502D43" w14:textId="64861E3F" w:rsidR="004E4033" w:rsidRDefault="00136D44" w:rsidP="009A4E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 (55.8)</w:t>
            </w:r>
          </w:p>
        </w:tc>
        <w:tc>
          <w:tcPr>
            <w:tcW w:w="2289" w:type="dxa"/>
          </w:tcPr>
          <w:p w14:paraId="5740FF0C" w14:textId="327CB59E" w:rsidR="004E4033" w:rsidRDefault="004E4033" w:rsidP="009A4E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142 (41.4)</w:t>
            </w:r>
          </w:p>
        </w:tc>
      </w:tr>
      <w:tr w:rsidR="004E4033" w14:paraId="234D608E" w14:textId="77777777" w:rsidTr="00141979">
        <w:trPr>
          <w:trHeight w:val="283"/>
        </w:trPr>
        <w:tc>
          <w:tcPr>
            <w:tcW w:w="3347" w:type="dxa"/>
          </w:tcPr>
          <w:p w14:paraId="50DFE6A5" w14:textId="77777777" w:rsidR="004E4033" w:rsidRDefault="004E4033" w:rsidP="009A4E81">
            <w:pPr>
              <w:rPr>
                <w:lang w:val="en-US"/>
              </w:rPr>
            </w:pPr>
            <w:r>
              <w:rPr>
                <w:lang w:val="en-US"/>
              </w:rPr>
              <w:t>Ethnicity (Chinese, %)</w:t>
            </w:r>
          </w:p>
        </w:tc>
        <w:tc>
          <w:tcPr>
            <w:tcW w:w="2293" w:type="dxa"/>
          </w:tcPr>
          <w:p w14:paraId="38A03603" w14:textId="77777777" w:rsidR="004E4033" w:rsidRDefault="004E4033" w:rsidP="009A4E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 (0) </w:t>
            </w:r>
          </w:p>
        </w:tc>
        <w:tc>
          <w:tcPr>
            <w:tcW w:w="2289" w:type="dxa"/>
          </w:tcPr>
          <w:p w14:paraId="0CAE0E32" w14:textId="09139161" w:rsidR="004E4033" w:rsidRDefault="00136D44" w:rsidP="009A4E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257 (100)</w:t>
            </w:r>
          </w:p>
        </w:tc>
        <w:tc>
          <w:tcPr>
            <w:tcW w:w="2289" w:type="dxa"/>
          </w:tcPr>
          <w:p w14:paraId="3AB06548" w14:textId="1BBFC088" w:rsidR="004E4033" w:rsidRDefault="00136D44" w:rsidP="009A4E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 (0)</w:t>
            </w:r>
          </w:p>
        </w:tc>
        <w:tc>
          <w:tcPr>
            <w:tcW w:w="2289" w:type="dxa"/>
          </w:tcPr>
          <w:p w14:paraId="7544E468" w14:textId="1FE54C64" w:rsidR="004E4033" w:rsidRDefault="004E4033" w:rsidP="009A4E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316 (92.1)</w:t>
            </w:r>
          </w:p>
        </w:tc>
      </w:tr>
      <w:tr w:rsidR="004E4033" w14:paraId="3B6E4A9B" w14:textId="77777777" w:rsidTr="00141979">
        <w:trPr>
          <w:trHeight w:val="268"/>
        </w:trPr>
        <w:tc>
          <w:tcPr>
            <w:tcW w:w="3347" w:type="dxa"/>
          </w:tcPr>
          <w:p w14:paraId="6A7DF5A9" w14:textId="77777777" w:rsidR="004E4033" w:rsidRPr="00790D98" w:rsidRDefault="004E4033" w:rsidP="009A4E81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7D463892" w14:textId="77777777" w:rsidR="004E4033" w:rsidRDefault="004E4033" w:rsidP="009A4E81">
            <w:pPr>
              <w:jc w:val="center"/>
              <w:rPr>
                <w:lang w:val="en-US"/>
              </w:rPr>
            </w:pPr>
          </w:p>
        </w:tc>
        <w:tc>
          <w:tcPr>
            <w:tcW w:w="2289" w:type="dxa"/>
          </w:tcPr>
          <w:p w14:paraId="5AE7EBE8" w14:textId="77777777" w:rsidR="004E4033" w:rsidRDefault="004E4033" w:rsidP="009A4E81">
            <w:pPr>
              <w:jc w:val="center"/>
              <w:rPr>
                <w:lang w:val="en-US"/>
              </w:rPr>
            </w:pPr>
          </w:p>
        </w:tc>
        <w:tc>
          <w:tcPr>
            <w:tcW w:w="2289" w:type="dxa"/>
          </w:tcPr>
          <w:p w14:paraId="1C6DCA72" w14:textId="0C635CB3" w:rsidR="004E4033" w:rsidRDefault="004E4033" w:rsidP="009A4E81">
            <w:pPr>
              <w:jc w:val="center"/>
              <w:rPr>
                <w:lang w:val="en-US"/>
              </w:rPr>
            </w:pPr>
          </w:p>
        </w:tc>
        <w:tc>
          <w:tcPr>
            <w:tcW w:w="2289" w:type="dxa"/>
          </w:tcPr>
          <w:p w14:paraId="09F533A0" w14:textId="1C2A438A" w:rsidR="004E4033" w:rsidRDefault="004E4033" w:rsidP="009A4E81">
            <w:pPr>
              <w:jc w:val="center"/>
              <w:rPr>
                <w:lang w:val="en-US"/>
              </w:rPr>
            </w:pPr>
          </w:p>
        </w:tc>
      </w:tr>
      <w:tr w:rsidR="004E4033" w14:paraId="55A0102A" w14:textId="77777777" w:rsidTr="00141979">
        <w:trPr>
          <w:trHeight w:val="283"/>
        </w:trPr>
        <w:tc>
          <w:tcPr>
            <w:tcW w:w="3347" w:type="dxa"/>
          </w:tcPr>
          <w:p w14:paraId="1130E3A5" w14:textId="77777777" w:rsidR="004E4033" w:rsidRDefault="004E4033" w:rsidP="009A4E81">
            <w:pPr>
              <w:rPr>
                <w:lang w:val="en-US"/>
              </w:rPr>
            </w:pPr>
            <w:r>
              <w:rPr>
                <w:lang w:val="en-US"/>
              </w:rPr>
              <w:t>Eyes (N)</w:t>
            </w:r>
          </w:p>
        </w:tc>
        <w:tc>
          <w:tcPr>
            <w:tcW w:w="2293" w:type="dxa"/>
          </w:tcPr>
          <w:p w14:paraId="1B99E16C" w14:textId="77777777" w:rsidR="004E4033" w:rsidRDefault="004E4033" w:rsidP="009A4E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1738</w:t>
            </w:r>
          </w:p>
        </w:tc>
        <w:tc>
          <w:tcPr>
            <w:tcW w:w="2289" w:type="dxa"/>
          </w:tcPr>
          <w:p w14:paraId="7F05CAC7" w14:textId="6FE15A30" w:rsidR="004E4033" w:rsidRDefault="00136D44" w:rsidP="009A4E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257</w:t>
            </w:r>
          </w:p>
        </w:tc>
        <w:tc>
          <w:tcPr>
            <w:tcW w:w="2289" w:type="dxa"/>
          </w:tcPr>
          <w:p w14:paraId="77201D55" w14:textId="3108DF54" w:rsidR="004E4033" w:rsidRDefault="00136D44" w:rsidP="009A4E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163</w:t>
            </w:r>
          </w:p>
        </w:tc>
        <w:tc>
          <w:tcPr>
            <w:tcW w:w="2289" w:type="dxa"/>
          </w:tcPr>
          <w:p w14:paraId="7969B3B6" w14:textId="3AFC2B91" w:rsidR="004E4033" w:rsidRDefault="004E4033" w:rsidP="009A4E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575</w:t>
            </w:r>
          </w:p>
        </w:tc>
      </w:tr>
      <w:tr w:rsidR="004E4033" w14:paraId="31EFC13D" w14:textId="77777777" w:rsidTr="00141979">
        <w:trPr>
          <w:trHeight w:val="868"/>
        </w:trPr>
        <w:tc>
          <w:tcPr>
            <w:tcW w:w="3347" w:type="dxa"/>
          </w:tcPr>
          <w:p w14:paraId="7898F5B1" w14:textId="77777777" w:rsidR="004E4033" w:rsidRDefault="004E4033" w:rsidP="009A4E81">
            <w:pPr>
              <w:rPr>
                <w:lang w:val="en-US"/>
              </w:rPr>
            </w:pPr>
            <w:r>
              <w:rPr>
                <w:lang w:val="en-US"/>
              </w:rPr>
              <w:t>Angle status (%)</w:t>
            </w:r>
          </w:p>
          <w:p w14:paraId="1F1690B9" w14:textId="77777777" w:rsidR="004E4033" w:rsidRDefault="004E4033" w:rsidP="009A4E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Open </w:t>
            </w:r>
          </w:p>
          <w:p w14:paraId="3FBAC1C7" w14:textId="77777777" w:rsidR="004E4033" w:rsidRPr="00790D98" w:rsidRDefault="004E4033" w:rsidP="009A4E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790D98">
              <w:rPr>
                <w:lang w:val="en-US"/>
              </w:rPr>
              <w:t>Closed</w:t>
            </w:r>
            <w:r>
              <w:rPr>
                <w:lang w:val="en-US"/>
              </w:rPr>
              <w:t>*</w:t>
            </w:r>
          </w:p>
        </w:tc>
        <w:tc>
          <w:tcPr>
            <w:tcW w:w="2293" w:type="dxa"/>
          </w:tcPr>
          <w:p w14:paraId="7AA8CE73" w14:textId="77777777" w:rsidR="004E4033" w:rsidRDefault="004E4033" w:rsidP="009A4E81">
            <w:pPr>
              <w:jc w:val="center"/>
              <w:rPr>
                <w:lang w:val="en-US"/>
              </w:rPr>
            </w:pPr>
          </w:p>
          <w:p w14:paraId="390505D8" w14:textId="77777777" w:rsidR="004E4033" w:rsidRDefault="004E4033" w:rsidP="009A4E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1627 (93.7)</w:t>
            </w:r>
          </w:p>
          <w:p w14:paraId="10BDF0E2" w14:textId="77777777" w:rsidR="004E4033" w:rsidRDefault="004E4033" w:rsidP="009A4E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 (6.3)</w:t>
            </w:r>
          </w:p>
        </w:tc>
        <w:tc>
          <w:tcPr>
            <w:tcW w:w="2289" w:type="dxa"/>
          </w:tcPr>
          <w:p w14:paraId="17B485C9" w14:textId="77777777" w:rsidR="004E4033" w:rsidRDefault="004E4033" w:rsidP="009A4E81">
            <w:pPr>
              <w:jc w:val="center"/>
              <w:rPr>
                <w:lang w:val="en-US"/>
              </w:rPr>
            </w:pPr>
          </w:p>
          <w:p w14:paraId="0CB5683E" w14:textId="77777777" w:rsidR="00136D44" w:rsidRDefault="00136D44" w:rsidP="009A4E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185 (72.0)</w:t>
            </w:r>
          </w:p>
          <w:p w14:paraId="0B99288C" w14:textId="4BD5A640" w:rsidR="00136D44" w:rsidRDefault="00136D44" w:rsidP="009A4E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 (28.0)</w:t>
            </w:r>
          </w:p>
        </w:tc>
        <w:tc>
          <w:tcPr>
            <w:tcW w:w="2289" w:type="dxa"/>
          </w:tcPr>
          <w:p w14:paraId="5A75C4AF" w14:textId="77777777" w:rsidR="004E4033" w:rsidRDefault="004E4033" w:rsidP="009A4E81">
            <w:pPr>
              <w:jc w:val="center"/>
              <w:rPr>
                <w:lang w:val="en-US"/>
              </w:rPr>
            </w:pPr>
          </w:p>
          <w:p w14:paraId="07A647C0" w14:textId="77777777" w:rsidR="00136D44" w:rsidRDefault="00136D44" w:rsidP="009A4E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116 (71.2)</w:t>
            </w:r>
          </w:p>
          <w:p w14:paraId="26370408" w14:textId="0B95DBAD" w:rsidR="00136D44" w:rsidRDefault="00136D44" w:rsidP="009A4E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 (28.8)</w:t>
            </w:r>
          </w:p>
        </w:tc>
        <w:tc>
          <w:tcPr>
            <w:tcW w:w="2289" w:type="dxa"/>
          </w:tcPr>
          <w:p w14:paraId="61CED788" w14:textId="261246E8" w:rsidR="004E4033" w:rsidRDefault="004E4033" w:rsidP="009A4E81">
            <w:pPr>
              <w:jc w:val="center"/>
              <w:rPr>
                <w:lang w:val="en-US"/>
              </w:rPr>
            </w:pPr>
          </w:p>
          <w:p w14:paraId="572F568B" w14:textId="77777777" w:rsidR="004E4033" w:rsidRDefault="004E4033" w:rsidP="009A4E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 (7.3)</w:t>
            </w:r>
          </w:p>
          <w:p w14:paraId="4E18000A" w14:textId="77777777" w:rsidR="004E4033" w:rsidRDefault="004E4033" w:rsidP="009A4E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533 (92.7)</w:t>
            </w:r>
          </w:p>
        </w:tc>
      </w:tr>
      <w:tr w:rsidR="004E4033" w14:paraId="5A639777" w14:textId="77777777" w:rsidTr="00141979">
        <w:trPr>
          <w:trHeight w:val="283"/>
        </w:trPr>
        <w:tc>
          <w:tcPr>
            <w:tcW w:w="3347" w:type="dxa"/>
          </w:tcPr>
          <w:p w14:paraId="55D50B6A" w14:textId="6749355B" w:rsidR="004E4033" w:rsidRDefault="004E4033" w:rsidP="009A4E81">
            <w:pPr>
              <w:rPr>
                <w:lang w:val="en-US"/>
              </w:rPr>
            </w:pPr>
            <w:r>
              <w:rPr>
                <w:lang w:val="en-US"/>
              </w:rPr>
              <w:t>Anterior chamber depth (mm)</w:t>
            </w:r>
          </w:p>
        </w:tc>
        <w:tc>
          <w:tcPr>
            <w:tcW w:w="2293" w:type="dxa"/>
          </w:tcPr>
          <w:p w14:paraId="6923BB92" w14:textId="77777777" w:rsidR="004E4033" w:rsidRDefault="004E4033" w:rsidP="009A4E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2.56 (0.33)</w:t>
            </w:r>
          </w:p>
        </w:tc>
        <w:tc>
          <w:tcPr>
            <w:tcW w:w="2289" w:type="dxa"/>
          </w:tcPr>
          <w:p w14:paraId="7B65793F" w14:textId="57139264" w:rsidR="004E4033" w:rsidRDefault="00136D44" w:rsidP="009A4E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2.61 (0.39)</w:t>
            </w:r>
          </w:p>
        </w:tc>
        <w:tc>
          <w:tcPr>
            <w:tcW w:w="2289" w:type="dxa"/>
          </w:tcPr>
          <w:p w14:paraId="1B6C4806" w14:textId="4FAC84F3" w:rsidR="004E4033" w:rsidRDefault="00136D44" w:rsidP="009A4E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2.64 (0.36)</w:t>
            </w:r>
          </w:p>
        </w:tc>
        <w:tc>
          <w:tcPr>
            <w:tcW w:w="2289" w:type="dxa"/>
          </w:tcPr>
          <w:p w14:paraId="1ADFB69E" w14:textId="27A260E7" w:rsidR="004E4033" w:rsidRDefault="004E4033" w:rsidP="009A4E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2.08 (0.32)</w:t>
            </w:r>
          </w:p>
        </w:tc>
      </w:tr>
    </w:tbl>
    <w:p w14:paraId="0D61A36C" w14:textId="6741381C" w:rsidR="00015339" w:rsidRPr="00A0615D" w:rsidRDefault="00015339" w:rsidP="0001533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0615D">
        <w:rPr>
          <w:rFonts w:ascii="Times New Roman" w:hAnsi="Times New Roman" w:cs="Times New Roman"/>
          <w:sz w:val="20"/>
          <w:szCs w:val="20"/>
          <w:lang w:val="en-US"/>
        </w:rPr>
        <w:t>Data presented are mean (standard deviation) for continuous variables; frequency (percentage) for categorical variables</w:t>
      </w:r>
    </w:p>
    <w:p w14:paraId="75C7106B" w14:textId="25EDA036" w:rsidR="00015339" w:rsidRPr="00A0615D" w:rsidRDefault="00A81807" w:rsidP="0001533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0615D">
        <w:rPr>
          <w:rFonts w:ascii="Times New Roman" w:hAnsi="Times New Roman" w:cs="Times New Roman"/>
          <w:sz w:val="20"/>
          <w:szCs w:val="20"/>
          <w:lang w:val="en-US"/>
        </w:rPr>
        <w:t xml:space="preserve">Footnote: </w:t>
      </w:r>
      <w:r w:rsidR="00015339" w:rsidRPr="00A0615D">
        <w:rPr>
          <w:rFonts w:ascii="Times New Roman" w:hAnsi="Times New Roman" w:cs="Times New Roman"/>
          <w:sz w:val="20"/>
          <w:szCs w:val="20"/>
          <w:lang w:val="en-US"/>
        </w:rPr>
        <w:t>*Angle closure was diagnosed in cases where ≥180</w:t>
      </w:r>
      <w:r w:rsidR="00015339" w:rsidRPr="00A0615D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0</w:t>
      </w:r>
      <w:r w:rsidR="00015339" w:rsidRPr="00A0615D">
        <w:rPr>
          <w:rFonts w:ascii="Times New Roman" w:hAnsi="Times New Roman" w:cs="Times New Roman"/>
          <w:sz w:val="20"/>
          <w:szCs w:val="20"/>
          <w:lang w:val="en-US"/>
        </w:rPr>
        <w:t xml:space="preserve"> posterior trabecular meshwork was not observ</w:t>
      </w:r>
      <w:r w:rsidR="009D7E2C" w:rsidRPr="00A0615D">
        <w:rPr>
          <w:rFonts w:ascii="Times New Roman" w:hAnsi="Times New Roman" w:cs="Times New Roman"/>
          <w:sz w:val="20"/>
          <w:szCs w:val="20"/>
          <w:lang w:val="en-US"/>
        </w:rPr>
        <w:t>ed with</w:t>
      </w:r>
      <w:r w:rsidR="00015339" w:rsidRPr="00A0615D">
        <w:rPr>
          <w:rFonts w:ascii="Times New Roman" w:hAnsi="Times New Roman" w:cs="Times New Roman"/>
          <w:sz w:val="20"/>
          <w:szCs w:val="20"/>
          <w:lang w:val="en-US"/>
        </w:rPr>
        <w:t xml:space="preserve"> gonioscopy </w:t>
      </w:r>
    </w:p>
    <w:p w14:paraId="79291209" w14:textId="1C7FC0F1" w:rsidR="004749D9" w:rsidRPr="00A0615D" w:rsidRDefault="00A81807" w:rsidP="0001533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0615D">
        <w:rPr>
          <w:rFonts w:ascii="Times New Roman" w:hAnsi="Times New Roman" w:cs="Times New Roman"/>
          <w:sz w:val="20"/>
          <w:szCs w:val="20"/>
          <w:lang w:val="en-US"/>
        </w:rPr>
        <w:t xml:space="preserve">Acronym: </w:t>
      </w:r>
      <w:r w:rsidR="004E4033">
        <w:rPr>
          <w:rFonts w:ascii="Times New Roman" w:hAnsi="Times New Roman" w:cs="Times New Roman"/>
          <w:sz w:val="20"/>
          <w:szCs w:val="20"/>
          <w:lang w:val="en-US"/>
        </w:rPr>
        <w:t xml:space="preserve">SEED, Singapore Epidemiology of Eye Diseases study; </w:t>
      </w:r>
      <w:proofErr w:type="spellStart"/>
      <w:r w:rsidR="004749D9" w:rsidRPr="00A0615D">
        <w:rPr>
          <w:rFonts w:ascii="Times New Roman" w:hAnsi="Times New Roman" w:cs="Times New Roman"/>
          <w:sz w:val="20"/>
          <w:szCs w:val="20"/>
          <w:lang w:val="en-US"/>
        </w:rPr>
        <w:t>SiMES</w:t>
      </w:r>
      <w:proofErr w:type="spellEnd"/>
      <w:r w:rsidR="004749D9" w:rsidRPr="00A0615D">
        <w:rPr>
          <w:rFonts w:ascii="Times New Roman" w:hAnsi="Times New Roman" w:cs="Times New Roman"/>
          <w:sz w:val="20"/>
          <w:szCs w:val="20"/>
          <w:lang w:val="en-US"/>
        </w:rPr>
        <w:t xml:space="preserve">, Singapore Malay Eye Study; </w:t>
      </w:r>
      <w:r w:rsidR="004E4033">
        <w:rPr>
          <w:rFonts w:ascii="Times New Roman" w:hAnsi="Times New Roman" w:cs="Times New Roman"/>
          <w:sz w:val="20"/>
          <w:szCs w:val="20"/>
          <w:lang w:val="en-US"/>
        </w:rPr>
        <w:t xml:space="preserve">SCES, Singapore Chinese Eye Study; SINDI, Singapore Indian Eye Study; </w:t>
      </w:r>
      <w:r w:rsidR="004749D9" w:rsidRPr="00A0615D">
        <w:rPr>
          <w:rFonts w:ascii="Times New Roman" w:hAnsi="Times New Roman" w:cs="Times New Roman"/>
          <w:sz w:val="20"/>
          <w:szCs w:val="20"/>
          <w:lang w:val="en-US"/>
        </w:rPr>
        <w:t>ISF, Iris Surface Features study</w:t>
      </w:r>
    </w:p>
    <w:p w14:paraId="17DF04AC" w14:textId="26A6A1AE" w:rsidR="003E3116" w:rsidRDefault="003E3116">
      <w:pPr>
        <w:rPr>
          <w:b/>
          <w:bCs/>
          <w:lang w:val="en-US"/>
        </w:rPr>
      </w:pPr>
    </w:p>
    <w:sectPr w:rsidR="003E3116" w:rsidSect="00A724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12A9D"/>
    <w:multiLevelType w:val="hybridMultilevel"/>
    <w:tmpl w:val="0E1A7E1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005DD2"/>
    <w:multiLevelType w:val="hybridMultilevel"/>
    <w:tmpl w:val="9B22CE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386186">
    <w:abstractNumId w:val="1"/>
  </w:num>
  <w:num w:numId="2" w16cid:durableId="1778210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48"/>
    <w:rsid w:val="00002F27"/>
    <w:rsid w:val="00015339"/>
    <w:rsid w:val="00073E49"/>
    <w:rsid w:val="00076573"/>
    <w:rsid w:val="000773DC"/>
    <w:rsid w:val="00092E56"/>
    <w:rsid w:val="000A0646"/>
    <w:rsid w:val="000D5477"/>
    <w:rsid w:val="00104352"/>
    <w:rsid w:val="00104626"/>
    <w:rsid w:val="00114196"/>
    <w:rsid w:val="001313F6"/>
    <w:rsid w:val="00133A5F"/>
    <w:rsid w:val="00136D44"/>
    <w:rsid w:val="00177C6A"/>
    <w:rsid w:val="00190084"/>
    <w:rsid w:val="001B5022"/>
    <w:rsid w:val="001C3663"/>
    <w:rsid w:val="001F049B"/>
    <w:rsid w:val="001F279A"/>
    <w:rsid w:val="00252CF0"/>
    <w:rsid w:val="002535D5"/>
    <w:rsid w:val="00260261"/>
    <w:rsid w:val="00263891"/>
    <w:rsid w:val="00270C71"/>
    <w:rsid w:val="0027512D"/>
    <w:rsid w:val="00277F23"/>
    <w:rsid w:val="002A145A"/>
    <w:rsid w:val="002A2B79"/>
    <w:rsid w:val="002E0841"/>
    <w:rsid w:val="002F5F4E"/>
    <w:rsid w:val="0030076E"/>
    <w:rsid w:val="003C67C3"/>
    <w:rsid w:val="003E3116"/>
    <w:rsid w:val="003E7D01"/>
    <w:rsid w:val="003F313A"/>
    <w:rsid w:val="00404A1A"/>
    <w:rsid w:val="0040760A"/>
    <w:rsid w:val="00454E9C"/>
    <w:rsid w:val="00472D57"/>
    <w:rsid w:val="004749D9"/>
    <w:rsid w:val="00483FA6"/>
    <w:rsid w:val="004A2BEC"/>
    <w:rsid w:val="004C594F"/>
    <w:rsid w:val="004E4033"/>
    <w:rsid w:val="00564FBA"/>
    <w:rsid w:val="005B0A3F"/>
    <w:rsid w:val="005B365B"/>
    <w:rsid w:val="005D3102"/>
    <w:rsid w:val="005F3294"/>
    <w:rsid w:val="0060748F"/>
    <w:rsid w:val="0062044C"/>
    <w:rsid w:val="006339C7"/>
    <w:rsid w:val="00633CE9"/>
    <w:rsid w:val="00656AB8"/>
    <w:rsid w:val="00673728"/>
    <w:rsid w:val="00683F8C"/>
    <w:rsid w:val="0068542F"/>
    <w:rsid w:val="00685B61"/>
    <w:rsid w:val="006B187D"/>
    <w:rsid w:val="00707585"/>
    <w:rsid w:val="007105D4"/>
    <w:rsid w:val="0071449D"/>
    <w:rsid w:val="007211E9"/>
    <w:rsid w:val="007310F9"/>
    <w:rsid w:val="00736FE6"/>
    <w:rsid w:val="00740DFC"/>
    <w:rsid w:val="007473D4"/>
    <w:rsid w:val="0075176B"/>
    <w:rsid w:val="007563C9"/>
    <w:rsid w:val="00771B00"/>
    <w:rsid w:val="007804FC"/>
    <w:rsid w:val="007866EC"/>
    <w:rsid w:val="00790D98"/>
    <w:rsid w:val="007B3AE1"/>
    <w:rsid w:val="007D27B9"/>
    <w:rsid w:val="00822F49"/>
    <w:rsid w:val="008300D1"/>
    <w:rsid w:val="008632E1"/>
    <w:rsid w:val="008B3290"/>
    <w:rsid w:val="008B52C5"/>
    <w:rsid w:val="008E4563"/>
    <w:rsid w:val="00905FC1"/>
    <w:rsid w:val="009238D3"/>
    <w:rsid w:val="00927E06"/>
    <w:rsid w:val="00937313"/>
    <w:rsid w:val="009458D3"/>
    <w:rsid w:val="00947BCB"/>
    <w:rsid w:val="009909FF"/>
    <w:rsid w:val="00995B15"/>
    <w:rsid w:val="009A523A"/>
    <w:rsid w:val="009C5E03"/>
    <w:rsid w:val="009D7E2C"/>
    <w:rsid w:val="00A0212A"/>
    <w:rsid w:val="00A0615D"/>
    <w:rsid w:val="00A22634"/>
    <w:rsid w:val="00A32185"/>
    <w:rsid w:val="00A33154"/>
    <w:rsid w:val="00A72448"/>
    <w:rsid w:val="00A81807"/>
    <w:rsid w:val="00A84DB9"/>
    <w:rsid w:val="00A93019"/>
    <w:rsid w:val="00AB23D8"/>
    <w:rsid w:val="00AE2AE0"/>
    <w:rsid w:val="00B06F47"/>
    <w:rsid w:val="00B123AE"/>
    <w:rsid w:val="00B27D01"/>
    <w:rsid w:val="00B32C08"/>
    <w:rsid w:val="00B75B22"/>
    <w:rsid w:val="00B919E2"/>
    <w:rsid w:val="00BA0FCA"/>
    <w:rsid w:val="00BB0E7A"/>
    <w:rsid w:val="00BC4EF2"/>
    <w:rsid w:val="00BC560E"/>
    <w:rsid w:val="00BD0D0F"/>
    <w:rsid w:val="00BE7E72"/>
    <w:rsid w:val="00C17D52"/>
    <w:rsid w:val="00C51720"/>
    <w:rsid w:val="00CA5773"/>
    <w:rsid w:val="00CF08F0"/>
    <w:rsid w:val="00D16451"/>
    <w:rsid w:val="00D405D2"/>
    <w:rsid w:val="00D44E21"/>
    <w:rsid w:val="00D51480"/>
    <w:rsid w:val="00D936F8"/>
    <w:rsid w:val="00DA3338"/>
    <w:rsid w:val="00DC122D"/>
    <w:rsid w:val="00DC6F23"/>
    <w:rsid w:val="00DD57FC"/>
    <w:rsid w:val="00DE2D62"/>
    <w:rsid w:val="00DF305F"/>
    <w:rsid w:val="00E5153B"/>
    <w:rsid w:val="00E6427C"/>
    <w:rsid w:val="00E80A4A"/>
    <w:rsid w:val="00EA52B0"/>
    <w:rsid w:val="00EB31FD"/>
    <w:rsid w:val="00F551C0"/>
    <w:rsid w:val="00F71E83"/>
    <w:rsid w:val="00F97AE2"/>
    <w:rsid w:val="00FB01F5"/>
    <w:rsid w:val="00FC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BED61"/>
  <w15:chartTrackingRefBased/>
  <w15:docId w15:val="{157CAA39-011A-4B32-9283-D3FD492C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1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4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31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1141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AC179-1DF9-4F8A-8863-1978A59E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zhida</dc:creator>
  <cp:keywords/>
  <dc:description/>
  <cp:lastModifiedBy>Zhi Da Soh</cp:lastModifiedBy>
  <cp:revision>2</cp:revision>
  <dcterms:created xsi:type="dcterms:W3CDTF">2023-01-11T01:58:00Z</dcterms:created>
  <dcterms:modified xsi:type="dcterms:W3CDTF">2023-01-11T01:58:00Z</dcterms:modified>
</cp:coreProperties>
</file>