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65123" w14:textId="6D088462" w:rsidR="00647E7F" w:rsidRDefault="006F7616" w:rsidP="00F17AB8">
      <w:pPr>
        <w:spacing w:line="360" w:lineRule="auto"/>
        <w:outlineLvl w:val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S1 Text</w:t>
      </w:r>
      <w:bookmarkStart w:id="0" w:name="_GoBack"/>
      <w:bookmarkEnd w:id="0"/>
      <w:r w:rsidR="00F17AB8" w:rsidRPr="00F17AB8">
        <w:rPr>
          <w:rFonts w:ascii="Times" w:hAnsi="Times"/>
          <w:b/>
          <w:sz w:val="24"/>
          <w:szCs w:val="24"/>
        </w:rPr>
        <w:t xml:space="preserve"> </w:t>
      </w:r>
    </w:p>
    <w:p w14:paraId="0E32D102" w14:textId="79C373A5" w:rsidR="00C33667" w:rsidRPr="00F17AB8" w:rsidRDefault="00F17AB8" w:rsidP="00F17AB8">
      <w:pPr>
        <w:spacing w:line="360" w:lineRule="auto"/>
        <w:outlineLvl w:val="0"/>
        <w:rPr>
          <w:rFonts w:ascii="Times" w:hAnsi="Times"/>
          <w:b/>
          <w:sz w:val="24"/>
          <w:szCs w:val="24"/>
        </w:rPr>
      </w:pPr>
      <w:r w:rsidRPr="00F17AB8">
        <w:rPr>
          <w:rFonts w:ascii="Times" w:hAnsi="Times"/>
          <w:b/>
          <w:sz w:val="24"/>
          <w:szCs w:val="24"/>
        </w:rPr>
        <w:t>M</w:t>
      </w:r>
      <w:r>
        <w:rPr>
          <w:rFonts w:ascii="Times" w:hAnsi="Times"/>
          <w:b/>
          <w:sz w:val="24"/>
          <w:szCs w:val="24"/>
        </w:rPr>
        <w:t>aterials and M</w:t>
      </w:r>
      <w:r w:rsidRPr="00F17AB8">
        <w:rPr>
          <w:rFonts w:ascii="Times" w:hAnsi="Times"/>
          <w:b/>
          <w:sz w:val="24"/>
          <w:szCs w:val="24"/>
        </w:rPr>
        <w:t>ethods for IAA Extraction and Quantification</w:t>
      </w:r>
    </w:p>
    <w:p w14:paraId="4E88E423" w14:textId="77777777" w:rsidR="005D52F3" w:rsidRPr="00F17AB8" w:rsidRDefault="005D52F3" w:rsidP="00F17AB8">
      <w:pPr>
        <w:spacing w:line="360" w:lineRule="auto"/>
        <w:outlineLvl w:val="0"/>
        <w:rPr>
          <w:rFonts w:ascii="Times" w:hAnsi="Times"/>
          <w:b/>
          <w:sz w:val="24"/>
          <w:szCs w:val="24"/>
        </w:rPr>
      </w:pPr>
      <w:r w:rsidRPr="00F17AB8">
        <w:rPr>
          <w:rFonts w:ascii="Times" w:hAnsi="Times"/>
          <w:b/>
          <w:sz w:val="24"/>
          <w:szCs w:val="24"/>
        </w:rPr>
        <w:t>Materials</w:t>
      </w:r>
    </w:p>
    <w:p w14:paraId="74A4E535" w14:textId="06365156" w:rsidR="003E0FD4" w:rsidRPr="00F17AB8" w:rsidRDefault="00705156" w:rsidP="00F17AB8">
      <w:pPr>
        <w:spacing w:line="360" w:lineRule="auto"/>
        <w:rPr>
          <w:rFonts w:ascii="Times" w:hAnsi="Times"/>
          <w:sz w:val="24"/>
          <w:szCs w:val="24"/>
        </w:rPr>
      </w:pPr>
      <w:r w:rsidRPr="00F17AB8">
        <w:rPr>
          <w:rFonts w:ascii="Times" w:hAnsi="Times"/>
          <w:sz w:val="24"/>
          <w:szCs w:val="24"/>
        </w:rPr>
        <w:t>I</w:t>
      </w:r>
      <w:r w:rsidR="005D52F3" w:rsidRPr="00F17AB8">
        <w:rPr>
          <w:rFonts w:ascii="Times" w:hAnsi="Times"/>
          <w:sz w:val="24"/>
          <w:szCs w:val="24"/>
        </w:rPr>
        <w:t>ndole-3-</w:t>
      </w:r>
      <w:r w:rsidR="00C97B5F" w:rsidRPr="00F17AB8">
        <w:rPr>
          <w:rFonts w:ascii="Times" w:hAnsi="Times"/>
          <w:sz w:val="24"/>
          <w:szCs w:val="24"/>
        </w:rPr>
        <w:t>acetic acid</w:t>
      </w:r>
      <w:r w:rsidR="00376DBF" w:rsidRPr="00F17AB8">
        <w:rPr>
          <w:rFonts w:ascii="Times" w:hAnsi="Times"/>
          <w:sz w:val="24"/>
          <w:szCs w:val="24"/>
        </w:rPr>
        <w:t xml:space="preserve"> and indole-2,4,5,6,7-d</w:t>
      </w:r>
      <w:r w:rsidR="00376DBF" w:rsidRPr="00F17AB8">
        <w:rPr>
          <w:rFonts w:ascii="Times" w:hAnsi="Times"/>
          <w:sz w:val="24"/>
          <w:szCs w:val="24"/>
          <w:vertAlign w:val="subscript"/>
        </w:rPr>
        <w:t>5</w:t>
      </w:r>
      <w:r w:rsidR="00376DBF" w:rsidRPr="00F17AB8">
        <w:rPr>
          <w:rFonts w:ascii="Times" w:hAnsi="Times"/>
          <w:sz w:val="24"/>
          <w:szCs w:val="24"/>
        </w:rPr>
        <w:t>-3-acetic acid (</w:t>
      </w:r>
      <w:r w:rsidR="0083583D" w:rsidRPr="00F17AB8">
        <w:rPr>
          <w:rFonts w:ascii="Times" w:hAnsi="Times"/>
          <w:sz w:val="24"/>
          <w:szCs w:val="24"/>
        </w:rPr>
        <w:t>d</w:t>
      </w:r>
      <w:r w:rsidR="0083583D" w:rsidRPr="00F17AB8">
        <w:rPr>
          <w:rFonts w:ascii="Times" w:hAnsi="Times"/>
          <w:sz w:val="24"/>
          <w:szCs w:val="24"/>
          <w:vertAlign w:val="subscript"/>
        </w:rPr>
        <w:t>5</w:t>
      </w:r>
      <w:r w:rsidR="0083583D">
        <w:rPr>
          <w:rFonts w:ascii="Times" w:hAnsi="Times"/>
          <w:sz w:val="24"/>
          <w:szCs w:val="24"/>
        </w:rPr>
        <w:t xml:space="preserve">-IAA, </w:t>
      </w:r>
      <w:r w:rsidR="00376DBF" w:rsidRPr="00F17AB8">
        <w:rPr>
          <w:rFonts w:ascii="Times" w:hAnsi="Times"/>
          <w:sz w:val="24"/>
          <w:szCs w:val="24"/>
        </w:rPr>
        <w:t xml:space="preserve">internal standard) </w:t>
      </w:r>
      <w:r w:rsidR="00B20B34" w:rsidRPr="00F17AB8">
        <w:rPr>
          <w:rFonts w:ascii="Times" w:hAnsi="Times"/>
          <w:sz w:val="24"/>
          <w:szCs w:val="24"/>
        </w:rPr>
        <w:t xml:space="preserve">were </w:t>
      </w:r>
      <w:r w:rsidR="00376DBF" w:rsidRPr="00F17AB8">
        <w:rPr>
          <w:rFonts w:ascii="Times" w:hAnsi="Times"/>
          <w:sz w:val="24"/>
          <w:szCs w:val="24"/>
        </w:rPr>
        <w:t>purchased</w:t>
      </w:r>
      <w:r w:rsidR="00B20B34" w:rsidRPr="00F17AB8">
        <w:rPr>
          <w:rFonts w:ascii="Times" w:hAnsi="Times"/>
          <w:sz w:val="24"/>
          <w:szCs w:val="24"/>
        </w:rPr>
        <w:t xml:space="preserve"> </w:t>
      </w:r>
      <w:r w:rsidR="00A97A5D" w:rsidRPr="00F17AB8">
        <w:rPr>
          <w:rFonts w:ascii="Times" w:hAnsi="Times"/>
          <w:sz w:val="24"/>
          <w:szCs w:val="24"/>
        </w:rPr>
        <w:t>commercially</w:t>
      </w:r>
      <w:r w:rsidR="00B20B34" w:rsidRPr="00F17AB8">
        <w:rPr>
          <w:rFonts w:ascii="Times" w:hAnsi="Times"/>
          <w:sz w:val="24"/>
          <w:szCs w:val="24"/>
        </w:rPr>
        <w:t xml:space="preserve"> </w:t>
      </w:r>
      <w:r w:rsidR="00376DBF" w:rsidRPr="00F17AB8">
        <w:rPr>
          <w:rFonts w:ascii="Times" w:hAnsi="Times"/>
          <w:sz w:val="24"/>
          <w:szCs w:val="24"/>
        </w:rPr>
        <w:t>from Sigma-Aldrich (St. Louis, MO; Cat No. I3750-25G-A) and CDN Isotopes (Pointe-Claire, Quebec; Cat No. D-2203), respectively</w:t>
      </w:r>
      <w:r w:rsidR="003E2482" w:rsidRPr="00F17AB8">
        <w:rPr>
          <w:rFonts w:ascii="Times" w:hAnsi="Times"/>
          <w:sz w:val="24"/>
          <w:szCs w:val="24"/>
        </w:rPr>
        <w:t>.</w:t>
      </w:r>
      <w:r w:rsidR="00913931" w:rsidRPr="00F17AB8">
        <w:rPr>
          <w:rFonts w:ascii="Times" w:hAnsi="Times"/>
          <w:sz w:val="24"/>
          <w:szCs w:val="24"/>
        </w:rPr>
        <w:t xml:space="preserve">  </w:t>
      </w:r>
      <w:r w:rsidR="00061B1F" w:rsidRPr="00F17AB8">
        <w:rPr>
          <w:rFonts w:ascii="Times" w:hAnsi="Times"/>
          <w:sz w:val="24"/>
          <w:szCs w:val="24"/>
        </w:rPr>
        <w:t>Methanol and acetonitrile (HPLC-grade) were sourced from J.T. Baker (</w:t>
      </w:r>
      <w:proofErr w:type="spellStart"/>
      <w:r w:rsidR="00061B1F" w:rsidRPr="00F17AB8">
        <w:rPr>
          <w:rFonts w:ascii="Times" w:hAnsi="Times"/>
          <w:sz w:val="24"/>
          <w:szCs w:val="24"/>
        </w:rPr>
        <w:t>Avantor</w:t>
      </w:r>
      <w:proofErr w:type="spellEnd"/>
      <w:r w:rsidR="00061B1F" w:rsidRPr="00F17AB8">
        <w:rPr>
          <w:rFonts w:ascii="Times" w:hAnsi="Times"/>
          <w:sz w:val="24"/>
          <w:szCs w:val="24"/>
        </w:rPr>
        <w:t xml:space="preserve"> Performance Materials) and LC-MS grade water was purchased from Honeywell Research Chemicals.  </w:t>
      </w:r>
      <w:r w:rsidR="00913931" w:rsidRPr="00F17AB8">
        <w:rPr>
          <w:rFonts w:ascii="Times" w:hAnsi="Times"/>
          <w:sz w:val="24"/>
          <w:szCs w:val="24"/>
        </w:rPr>
        <w:t xml:space="preserve">Individual stock solutions of </w:t>
      </w:r>
      <w:r w:rsidR="00C33667" w:rsidRPr="00F17AB8">
        <w:rPr>
          <w:rFonts w:ascii="Times" w:hAnsi="Times"/>
          <w:sz w:val="24"/>
          <w:szCs w:val="24"/>
        </w:rPr>
        <w:t xml:space="preserve">unlabeled and labeled </w:t>
      </w:r>
      <w:r w:rsidR="00913931" w:rsidRPr="00F17AB8">
        <w:rPr>
          <w:rFonts w:ascii="Times" w:hAnsi="Times"/>
          <w:sz w:val="24"/>
          <w:szCs w:val="24"/>
        </w:rPr>
        <w:t>compound were prepared in 50% methanol and stored at -80 °C.</w:t>
      </w:r>
      <w:r w:rsidR="00C33667" w:rsidRPr="00F17AB8">
        <w:rPr>
          <w:rFonts w:ascii="Times" w:hAnsi="Times"/>
          <w:sz w:val="24"/>
          <w:szCs w:val="24"/>
        </w:rPr>
        <w:t xml:space="preserve">  Standard solutions were prepared fresh in 30% methanol in</w:t>
      </w:r>
      <w:r w:rsidR="00376DBF" w:rsidRPr="00F17AB8">
        <w:rPr>
          <w:rFonts w:ascii="Times" w:hAnsi="Times"/>
          <w:sz w:val="24"/>
          <w:szCs w:val="24"/>
        </w:rPr>
        <w:t xml:space="preserve"> the</w:t>
      </w:r>
      <w:r w:rsidR="00C33667" w:rsidRPr="00F17AB8">
        <w:rPr>
          <w:rFonts w:ascii="Times" w:hAnsi="Times"/>
          <w:sz w:val="24"/>
          <w:szCs w:val="24"/>
        </w:rPr>
        <w:t xml:space="preserve"> </w:t>
      </w:r>
      <w:r w:rsidR="009B5F4C" w:rsidRPr="00F17AB8">
        <w:rPr>
          <w:rFonts w:ascii="Times" w:hAnsi="Times"/>
          <w:sz w:val="24"/>
          <w:szCs w:val="24"/>
        </w:rPr>
        <w:t xml:space="preserve">linear </w:t>
      </w:r>
      <w:r w:rsidR="00C33667" w:rsidRPr="00F17AB8">
        <w:rPr>
          <w:rFonts w:ascii="Times" w:hAnsi="Times"/>
          <w:sz w:val="24"/>
          <w:szCs w:val="24"/>
        </w:rPr>
        <w:t xml:space="preserve">concentration ranges of 32 </w:t>
      </w:r>
      <w:proofErr w:type="spellStart"/>
      <w:r w:rsidR="00C33667" w:rsidRPr="00F17AB8">
        <w:rPr>
          <w:rFonts w:ascii="Times" w:hAnsi="Times"/>
          <w:sz w:val="24"/>
          <w:szCs w:val="24"/>
        </w:rPr>
        <w:t>p</w:t>
      </w:r>
      <w:r w:rsidR="003862B7" w:rsidRPr="00F17AB8">
        <w:rPr>
          <w:rFonts w:ascii="Times" w:hAnsi="Times"/>
          <w:sz w:val="24"/>
          <w:szCs w:val="24"/>
        </w:rPr>
        <w:t>M</w:t>
      </w:r>
      <w:proofErr w:type="spellEnd"/>
      <w:r w:rsidR="00C33667" w:rsidRPr="00F17AB8">
        <w:rPr>
          <w:rFonts w:ascii="Times" w:hAnsi="Times"/>
          <w:sz w:val="24"/>
          <w:szCs w:val="24"/>
        </w:rPr>
        <w:t xml:space="preserve"> to 10 µM. </w:t>
      </w:r>
      <w:r w:rsidR="00913931" w:rsidRPr="00F17AB8">
        <w:rPr>
          <w:rFonts w:ascii="Times" w:hAnsi="Times"/>
          <w:sz w:val="24"/>
          <w:szCs w:val="24"/>
        </w:rPr>
        <w:t xml:space="preserve"> An internal standard solution was prepared</w:t>
      </w:r>
      <w:r w:rsidR="00C33667" w:rsidRPr="00F17AB8">
        <w:rPr>
          <w:rFonts w:ascii="Times" w:hAnsi="Times"/>
          <w:sz w:val="24"/>
          <w:szCs w:val="24"/>
        </w:rPr>
        <w:t xml:space="preserve"> in 30% methanol</w:t>
      </w:r>
      <w:r w:rsidR="00913931" w:rsidRPr="00F17AB8">
        <w:rPr>
          <w:rFonts w:ascii="Times" w:hAnsi="Times"/>
          <w:sz w:val="24"/>
          <w:szCs w:val="24"/>
        </w:rPr>
        <w:t xml:space="preserve"> containing 2.5 µM</w:t>
      </w:r>
      <w:r w:rsidR="00376DBF" w:rsidRPr="00F17AB8">
        <w:rPr>
          <w:rFonts w:ascii="Times" w:hAnsi="Times"/>
          <w:sz w:val="24"/>
          <w:szCs w:val="24"/>
        </w:rPr>
        <w:t xml:space="preserve"> d</w:t>
      </w:r>
      <w:r w:rsidR="00376DBF" w:rsidRPr="00F17AB8">
        <w:rPr>
          <w:rFonts w:ascii="Times" w:hAnsi="Times"/>
          <w:sz w:val="24"/>
          <w:szCs w:val="24"/>
          <w:vertAlign w:val="subscript"/>
        </w:rPr>
        <w:t>5</w:t>
      </w:r>
      <w:r w:rsidR="00376DBF" w:rsidRPr="00F17AB8">
        <w:rPr>
          <w:rFonts w:ascii="Times" w:hAnsi="Times"/>
          <w:sz w:val="24"/>
          <w:szCs w:val="24"/>
        </w:rPr>
        <w:t>-IAA</w:t>
      </w:r>
      <w:r w:rsidR="00913931" w:rsidRPr="00F17AB8">
        <w:rPr>
          <w:rFonts w:ascii="Times" w:hAnsi="Times"/>
          <w:sz w:val="24"/>
          <w:szCs w:val="24"/>
        </w:rPr>
        <w:t>.</w:t>
      </w:r>
    </w:p>
    <w:p w14:paraId="74FA21EE" w14:textId="77777777" w:rsidR="003E0FD4" w:rsidRPr="00F17AB8" w:rsidRDefault="003E0FD4" w:rsidP="00F17AB8">
      <w:pPr>
        <w:spacing w:line="360" w:lineRule="auto"/>
        <w:outlineLvl w:val="0"/>
        <w:rPr>
          <w:rFonts w:ascii="Times" w:hAnsi="Times"/>
          <w:b/>
          <w:sz w:val="24"/>
          <w:szCs w:val="24"/>
        </w:rPr>
      </w:pPr>
      <w:r w:rsidRPr="00F17AB8">
        <w:rPr>
          <w:rFonts w:ascii="Times" w:hAnsi="Times"/>
          <w:b/>
          <w:sz w:val="24"/>
          <w:szCs w:val="24"/>
        </w:rPr>
        <w:t>LC-MS/MS</w:t>
      </w:r>
      <w:r w:rsidR="005630CC" w:rsidRPr="00F17AB8">
        <w:rPr>
          <w:rFonts w:ascii="Times" w:hAnsi="Times"/>
          <w:b/>
          <w:sz w:val="24"/>
          <w:szCs w:val="24"/>
        </w:rPr>
        <w:t xml:space="preserve"> Instrumentation</w:t>
      </w:r>
    </w:p>
    <w:p w14:paraId="3AF49515" w14:textId="77777777" w:rsidR="00C96ED6" w:rsidRPr="00F17AB8" w:rsidRDefault="00FA2C25" w:rsidP="00F17AB8">
      <w:pPr>
        <w:spacing w:line="360" w:lineRule="auto"/>
        <w:rPr>
          <w:rFonts w:ascii="Times" w:hAnsi="Times"/>
          <w:sz w:val="24"/>
          <w:szCs w:val="24"/>
        </w:rPr>
      </w:pPr>
      <w:r w:rsidRPr="00F17AB8">
        <w:rPr>
          <w:rFonts w:ascii="Times" w:hAnsi="Times"/>
          <w:sz w:val="24"/>
          <w:szCs w:val="24"/>
        </w:rPr>
        <w:t xml:space="preserve">Clarified samples were </w:t>
      </w:r>
      <w:r w:rsidR="00F304E1" w:rsidRPr="00F17AB8">
        <w:rPr>
          <w:rFonts w:ascii="Times" w:hAnsi="Times"/>
          <w:sz w:val="24"/>
          <w:szCs w:val="24"/>
        </w:rPr>
        <w:t>analyzed</w:t>
      </w:r>
      <w:r w:rsidRPr="00F17AB8">
        <w:rPr>
          <w:rFonts w:ascii="Times" w:hAnsi="Times"/>
          <w:sz w:val="24"/>
          <w:szCs w:val="24"/>
        </w:rPr>
        <w:t xml:space="preserve"> on a </w:t>
      </w:r>
      <w:proofErr w:type="spellStart"/>
      <w:r w:rsidR="00FC54B3" w:rsidRPr="00F17AB8">
        <w:rPr>
          <w:rFonts w:ascii="Times" w:hAnsi="Times"/>
          <w:sz w:val="24"/>
          <w:szCs w:val="24"/>
        </w:rPr>
        <w:t>Eksigent</w:t>
      </w:r>
      <w:proofErr w:type="spellEnd"/>
      <w:r w:rsidR="00FC54B3" w:rsidRPr="00F17AB8">
        <w:rPr>
          <w:rFonts w:ascii="Times" w:hAnsi="Times"/>
          <w:sz w:val="24"/>
          <w:szCs w:val="24"/>
        </w:rPr>
        <w:t xml:space="preserve"> </w:t>
      </w:r>
      <w:proofErr w:type="spellStart"/>
      <w:r w:rsidR="00FB1958" w:rsidRPr="00F17AB8">
        <w:rPr>
          <w:rFonts w:ascii="Times" w:hAnsi="Times"/>
          <w:sz w:val="24"/>
          <w:szCs w:val="24"/>
        </w:rPr>
        <w:t>ekspert</w:t>
      </w:r>
      <w:proofErr w:type="spellEnd"/>
      <w:r w:rsidR="004E29E4" w:rsidRPr="00F17AB8">
        <w:rPr>
          <w:rFonts w:ascii="Times" w:hAnsi="Times"/>
          <w:sz w:val="24"/>
          <w:szCs w:val="24"/>
        </w:rPr>
        <w:t>™</w:t>
      </w:r>
      <w:r w:rsidR="00FB1958" w:rsidRPr="00F17AB8">
        <w:rPr>
          <w:rFonts w:ascii="Times" w:hAnsi="Times"/>
          <w:sz w:val="24"/>
          <w:szCs w:val="24"/>
        </w:rPr>
        <w:t xml:space="preserve"> </w:t>
      </w:r>
      <w:proofErr w:type="spellStart"/>
      <w:r w:rsidR="00FB1958" w:rsidRPr="00F17AB8">
        <w:rPr>
          <w:rFonts w:ascii="Times" w:hAnsi="Times"/>
          <w:sz w:val="24"/>
          <w:szCs w:val="24"/>
        </w:rPr>
        <w:t>m</w:t>
      </w:r>
      <w:r w:rsidR="00FC54B3" w:rsidRPr="00F17AB8">
        <w:rPr>
          <w:rFonts w:ascii="Times" w:hAnsi="Times"/>
          <w:sz w:val="24"/>
          <w:szCs w:val="24"/>
        </w:rPr>
        <w:t>icroLC</w:t>
      </w:r>
      <w:proofErr w:type="spellEnd"/>
      <w:r w:rsidR="00AA4BDC" w:rsidRPr="00F17AB8">
        <w:rPr>
          <w:rFonts w:ascii="Times" w:hAnsi="Times"/>
          <w:sz w:val="24"/>
          <w:szCs w:val="24"/>
        </w:rPr>
        <w:t xml:space="preserve"> </w:t>
      </w:r>
      <w:r w:rsidR="00FC54B3" w:rsidRPr="00F17AB8">
        <w:rPr>
          <w:rFonts w:ascii="Times" w:hAnsi="Times"/>
          <w:sz w:val="24"/>
          <w:szCs w:val="24"/>
        </w:rPr>
        <w:t>200</w:t>
      </w:r>
      <w:r w:rsidRPr="00F17AB8">
        <w:rPr>
          <w:rFonts w:ascii="Times" w:hAnsi="Times"/>
          <w:sz w:val="24"/>
          <w:szCs w:val="24"/>
        </w:rPr>
        <w:t xml:space="preserve"> coupled to a </w:t>
      </w:r>
      <w:proofErr w:type="spellStart"/>
      <w:r w:rsidRPr="00F17AB8">
        <w:rPr>
          <w:rFonts w:ascii="Times" w:hAnsi="Times"/>
          <w:sz w:val="24"/>
          <w:szCs w:val="24"/>
        </w:rPr>
        <w:t>Sciex</w:t>
      </w:r>
      <w:proofErr w:type="spellEnd"/>
      <w:r w:rsidRPr="00F17AB8">
        <w:rPr>
          <w:rFonts w:ascii="Times" w:hAnsi="Times"/>
          <w:sz w:val="24"/>
          <w:szCs w:val="24"/>
        </w:rPr>
        <w:t xml:space="preserve"> 6500 </w:t>
      </w:r>
      <w:proofErr w:type="spellStart"/>
      <w:r w:rsidRPr="00F17AB8">
        <w:rPr>
          <w:rFonts w:ascii="Times" w:hAnsi="Times"/>
          <w:sz w:val="24"/>
          <w:szCs w:val="24"/>
        </w:rPr>
        <w:t>QTrap</w:t>
      </w:r>
      <w:proofErr w:type="spellEnd"/>
      <w:r w:rsidRPr="00F17AB8">
        <w:rPr>
          <w:rFonts w:ascii="Times" w:hAnsi="Times"/>
          <w:sz w:val="24"/>
          <w:szCs w:val="24"/>
        </w:rPr>
        <w:t>® (Framingham, MA)</w:t>
      </w:r>
      <w:r w:rsidR="00FC54B3" w:rsidRPr="00F17AB8">
        <w:rPr>
          <w:rFonts w:ascii="Times" w:hAnsi="Times"/>
          <w:sz w:val="24"/>
          <w:szCs w:val="24"/>
        </w:rPr>
        <w:t xml:space="preserve"> </w:t>
      </w:r>
      <w:r w:rsidR="00376DBF" w:rsidRPr="00F17AB8">
        <w:rPr>
          <w:rFonts w:ascii="Times" w:hAnsi="Times"/>
          <w:sz w:val="24"/>
          <w:szCs w:val="24"/>
        </w:rPr>
        <w:t xml:space="preserve">operated </w:t>
      </w:r>
      <w:r w:rsidR="00F036A1" w:rsidRPr="00F17AB8">
        <w:rPr>
          <w:rFonts w:ascii="Times" w:hAnsi="Times"/>
          <w:sz w:val="24"/>
          <w:szCs w:val="24"/>
        </w:rPr>
        <w:t>with</w:t>
      </w:r>
      <w:r w:rsidR="00376DBF" w:rsidRPr="00F17AB8">
        <w:rPr>
          <w:rFonts w:ascii="Times" w:hAnsi="Times"/>
          <w:sz w:val="24"/>
          <w:szCs w:val="24"/>
        </w:rPr>
        <w:t xml:space="preserve"> positive-ion electrospray ionization</w:t>
      </w:r>
      <w:r w:rsidR="00062B67" w:rsidRPr="00F17AB8">
        <w:rPr>
          <w:rFonts w:ascii="Times" w:hAnsi="Times"/>
          <w:sz w:val="24"/>
          <w:szCs w:val="24"/>
        </w:rPr>
        <w:t xml:space="preserve">.  </w:t>
      </w:r>
      <w:r w:rsidR="00C96ED6" w:rsidRPr="00F17AB8">
        <w:rPr>
          <w:rFonts w:ascii="Times" w:hAnsi="Times"/>
          <w:sz w:val="24"/>
          <w:szCs w:val="24"/>
        </w:rPr>
        <w:t xml:space="preserve">The </w:t>
      </w:r>
      <w:r w:rsidR="004679C8" w:rsidRPr="00F17AB8">
        <w:rPr>
          <w:rFonts w:ascii="Times" w:hAnsi="Times"/>
          <w:sz w:val="24"/>
          <w:szCs w:val="24"/>
        </w:rPr>
        <w:t xml:space="preserve">LC separation was achieved </w:t>
      </w:r>
      <w:r w:rsidR="00FB1958" w:rsidRPr="00F17AB8">
        <w:rPr>
          <w:rFonts w:ascii="Times" w:hAnsi="Times"/>
          <w:sz w:val="24"/>
          <w:szCs w:val="24"/>
        </w:rPr>
        <w:t xml:space="preserve">using a Waters (Milford, MA) </w:t>
      </w:r>
      <w:proofErr w:type="spellStart"/>
      <w:r w:rsidR="00FB1958" w:rsidRPr="00F17AB8">
        <w:rPr>
          <w:rFonts w:ascii="Times" w:hAnsi="Times"/>
          <w:sz w:val="24"/>
          <w:szCs w:val="24"/>
        </w:rPr>
        <w:t>A</w:t>
      </w:r>
      <w:r w:rsidR="004679C8" w:rsidRPr="00F17AB8">
        <w:rPr>
          <w:rFonts w:ascii="Times" w:hAnsi="Times"/>
          <w:sz w:val="24"/>
          <w:szCs w:val="24"/>
        </w:rPr>
        <w:t>c</w:t>
      </w:r>
      <w:r w:rsidR="00FB1958" w:rsidRPr="00F17AB8">
        <w:rPr>
          <w:rFonts w:ascii="Times" w:hAnsi="Times"/>
          <w:sz w:val="24"/>
          <w:szCs w:val="24"/>
        </w:rPr>
        <w:t>quity</w:t>
      </w:r>
      <w:proofErr w:type="spellEnd"/>
      <w:r w:rsidR="00FB1958" w:rsidRPr="00F17AB8">
        <w:rPr>
          <w:rFonts w:ascii="Times" w:hAnsi="Times"/>
          <w:sz w:val="24"/>
          <w:szCs w:val="24"/>
        </w:rPr>
        <w:t xml:space="preserve"> </w:t>
      </w:r>
      <w:r w:rsidR="004679C8" w:rsidRPr="00F17AB8">
        <w:rPr>
          <w:rFonts w:ascii="Times" w:hAnsi="Times"/>
          <w:sz w:val="24"/>
          <w:szCs w:val="24"/>
        </w:rPr>
        <w:t xml:space="preserve">UPLC® BEH C18 </w:t>
      </w:r>
      <w:r w:rsidR="004E29E4" w:rsidRPr="00F17AB8">
        <w:rPr>
          <w:rFonts w:ascii="Times" w:hAnsi="Times"/>
          <w:sz w:val="24"/>
          <w:szCs w:val="24"/>
        </w:rPr>
        <w:t>1.0</w:t>
      </w:r>
      <w:r w:rsidR="00FB1958" w:rsidRPr="00F17AB8">
        <w:rPr>
          <w:rFonts w:ascii="Times" w:hAnsi="Times"/>
          <w:sz w:val="24"/>
          <w:szCs w:val="24"/>
        </w:rPr>
        <w:t xml:space="preserve"> × </w:t>
      </w:r>
      <w:r w:rsidR="004E29E4" w:rsidRPr="00F17AB8">
        <w:rPr>
          <w:rFonts w:ascii="Times" w:hAnsi="Times"/>
          <w:sz w:val="24"/>
          <w:szCs w:val="24"/>
        </w:rPr>
        <w:t>100</w:t>
      </w:r>
      <w:r w:rsidR="00FB1958" w:rsidRPr="00F17AB8">
        <w:rPr>
          <w:rFonts w:ascii="Times" w:hAnsi="Times"/>
          <w:sz w:val="24"/>
          <w:szCs w:val="24"/>
        </w:rPr>
        <w:t xml:space="preserve"> mm</w:t>
      </w:r>
      <w:r w:rsidR="004679C8" w:rsidRPr="00F17AB8">
        <w:rPr>
          <w:rFonts w:ascii="Times" w:hAnsi="Times"/>
          <w:sz w:val="24"/>
          <w:szCs w:val="24"/>
        </w:rPr>
        <w:t>, 1.7 µm</w:t>
      </w:r>
      <w:r w:rsidR="00FB1958" w:rsidRPr="00F17AB8">
        <w:rPr>
          <w:rFonts w:ascii="Times" w:hAnsi="Times"/>
          <w:sz w:val="24"/>
          <w:szCs w:val="24"/>
        </w:rPr>
        <w:t xml:space="preserve"> column </w:t>
      </w:r>
      <w:r w:rsidR="004679C8" w:rsidRPr="00F17AB8">
        <w:rPr>
          <w:rFonts w:ascii="Times" w:hAnsi="Times"/>
          <w:sz w:val="24"/>
          <w:szCs w:val="24"/>
        </w:rPr>
        <w:t>kept at 50 °C with a flow rate of 15 µL/min while the</w:t>
      </w:r>
      <w:r w:rsidR="00C96ED6" w:rsidRPr="00F17AB8">
        <w:rPr>
          <w:rFonts w:ascii="Times" w:hAnsi="Times"/>
          <w:sz w:val="24"/>
          <w:szCs w:val="24"/>
        </w:rPr>
        <w:t xml:space="preserve"> </w:t>
      </w:r>
      <w:proofErr w:type="spellStart"/>
      <w:r w:rsidR="00C96ED6" w:rsidRPr="00F17AB8">
        <w:rPr>
          <w:rFonts w:ascii="Times" w:hAnsi="Times"/>
          <w:sz w:val="24"/>
          <w:szCs w:val="24"/>
        </w:rPr>
        <w:t>autosampler</w:t>
      </w:r>
      <w:proofErr w:type="spellEnd"/>
      <w:r w:rsidR="00C96ED6" w:rsidRPr="00F17AB8">
        <w:rPr>
          <w:rFonts w:ascii="Times" w:hAnsi="Times"/>
          <w:sz w:val="24"/>
          <w:szCs w:val="24"/>
        </w:rPr>
        <w:t xml:space="preserve"> was </w:t>
      </w:r>
      <w:r w:rsidR="004679C8" w:rsidRPr="00F17AB8">
        <w:rPr>
          <w:rFonts w:ascii="Times" w:hAnsi="Times"/>
          <w:sz w:val="24"/>
          <w:szCs w:val="24"/>
        </w:rPr>
        <w:t>set</w:t>
      </w:r>
      <w:r w:rsidR="00C96ED6" w:rsidRPr="00F17AB8">
        <w:rPr>
          <w:rFonts w:ascii="Times" w:hAnsi="Times"/>
          <w:sz w:val="24"/>
          <w:szCs w:val="24"/>
        </w:rPr>
        <w:t xml:space="preserve"> at 8 °C.  </w:t>
      </w:r>
      <w:r w:rsidR="00535DD0" w:rsidRPr="00F17AB8">
        <w:rPr>
          <w:rFonts w:ascii="Times" w:hAnsi="Times"/>
          <w:sz w:val="24"/>
          <w:szCs w:val="24"/>
        </w:rPr>
        <w:t xml:space="preserve">The mobile phases were 0.1% acetic acid and 3:1 </w:t>
      </w:r>
      <w:proofErr w:type="spellStart"/>
      <w:proofErr w:type="gramStart"/>
      <w:r w:rsidR="00535DD0" w:rsidRPr="00F17AB8">
        <w:rPr>
          <w:rFonts w:ascii="Times" w:hAnsi="Times"/>
          <w:sz w:val="24"/>
          <w:szCs w:val="24"/>
        </w:rPr>
        <w:t>acetonitrile:metha</w:t>
      </w:r>
      <w:r w:rsidR="0032088F" w:rsidRPr="00F17AB8">
        <w:rPr>
          <w:rFonts w:ascii="Times" w:hAnsi="Times"/>
          <w:sz w:val="24"/>
          <w:szCs w:val="24"/>
        </w:rPr>
        <w:t>nol</w:t>
      </w:r>
      <w:proofErr w:type="spellEnd"/>
      <w:proofErr w:type="gramEnd"/>
      <w:r w:rsidR="0032088F" w:rsidRPr="00F17AB8">
        <w:rPr>
          <w:rFonts w:ascii="Times" w:hAnsi="Times"/>
          <w:sz w:val="24"/>
          <w:szCs w:val="24"/>
        </w:rPr>
        <w:t xml:space="preserve"> containing 0.1% acetic acid running a gradient of 20% B for </w:t>
      </w:r>
      <w:r w:rsidR="00FB1958" w:rsidRPr="00F17AB8">
        <w:rPr>
          <w:rFonts w:ascii="Times" w:hAnsi="Times"/>
          <w:sz w:val="24"/>
          <w:szCs w:val="24"/>
        </w:rPr>
        <w:t>4</w:t>
      </w:r>
      <w:r w:rsidR="0032088F" w:rsidRPr="00F17AB8">
        <w:rPr>
          <w:rFonts w:ascii="Times" w:hAnsi="Times"/>
          <w:sz w:val="24"/>
          <w:szCs w:val="24"/>
        </w:rPr>
        <w:t xml:space="preserve"> minutes ramping to </w:t>
      </w:r>
      <w:r w:rsidR="00FB1958" w:rsidRPr="00F17AB8">
        <w:rPr>
          <w:rFonts w:ascii="Times" w:hAnsi="Times"/>
          <w:sz w:val="24"/>
          <w:szCs w:val="24"/>
        </w:rPr>
        <w:t>7</w:t>
      </w:r>
      <w:r w:rsidR="0032088F" w:rsidRPr="00F17AB8">
        <w:rPr>
          <w:rFonts w:ascii="Times" w:hAnsi="Times"/>
          <w:sz w:val="24"/>
          <w:szCs w:val="24"/>
        </w:rPr>
        <w:t xml:space="preserve">0% B at </w:t>
      </w:r>
      <w:r w:rsidR="00FB1958" w:rsidRPr="00F17AB8">
        <w:rPr>
          <w:rFonts w:ascii="Times" w:hAnsi="Times"/>
          <w:sz w:val="24"/>
          <w:szCs w:val="24"/>
        </w:rPr>
        <w:t>7</w:t>
      </w:r>
      <w:r w:rsidR="0032088F" w:rsidRPr="00F17AB8">
        <w:rPr>
          <w:rFonts w:ascii="Times" w:hAnsi="Times"/>
          <w:sz w:val="24"/>
          <w:szCs w:val="24"/>
        </w:rPr>
        <w:t xml:space="preserve"> minutes, </w:t>
      </w:r>
      <w:r w:rsidR="00FB1958" w:rsidRPr="00F17AB8">
        <w:rPr>
          <w:rFonts w:ascii="Times" w:hAnsi="Times"/>
          <w:sz w:val="24"/>
          <w:szCs w:val="24"/>
        </w:rPr>
        <w:t>increas</w:t>
      </w:r>
      <w:r w:rsidR="00AA4BDC" w:rsidRPr="00F17AB8">
        <w:rPr>
          <w:rFonts w:ascii="Times" w:hAnsi="Times"/>
          <w:sz w:val="24"/>
          <w:szCs w:val="24"/>
        </w:rPr>
        <w:t>ing</w:t>
      </w:r>
      <w:r w:rsidR="00FB1958" w:rsidRPr="00F17AB8">
        <w:rPr>
          <w:rFonts w:ascii="Times" w:hAnsi="Times"/>
          <w:sz w:val="24"/>
          <w:szCs w:val="24"/>
        </w:rPr>
        <w:t xml:space="preserve"> to 95% B at 7.5 minutes, </w:t>
      </w:r>
      <w:r w:rsidR="0032088F" w:rsidRPr="00F17AB8">
        <w:rPr>
          <w:rFonts w:ascii="Times" w:hAnsi="Times"/>
          <w:sz w:val="24"/>
          <w:szCs w:val="24"/>
        </w:rPr>
        <w:t xml:space="preserve">holding for </w:t>
      </w:r>
      <w:r w:rsidR="00FB1958" w:rsidRPr="00F17AB8">
        <w:rPr>
          <w:rFonts w:ascii="Times" w:hAnsi="Times"/>
          <w:sz w:val="24"/>
          <w:szCs w:val="24"/>
        </w:rPr>
        <w:t>5.5</w:t>
      </w:r>
      <w:r w:rsidR="0032088F" w:rsidRPr="00F17AB8">
        <w:rPr>
          <w:rFonts w:ascii="Times" w:hAnsi="Times"/>
          <w:sz w:val="24"/>
          <w:szCs w:val="24"/>
        </w:rPr>
        <w:t xml:space="preserve"> minutes, then re-equilibrate at initial conditions</w:t>
      </w:r>
      <w:r w:rsidR="00FB1958" w:rsidRPr="00F17AB8">
        <w:rPr>
          <w:rFonts w:ascii="Times" w:hAnsi="Times"/>
          <w:sz w:val="24"/>
          <w:szCs w:val="24"/>
        </w:rPr>
        <w:t xml:space="preserve"> at 13.5 minutes</w:t>
      </w:r>
      <w:r w:rsidR="0032088F" w:rsidRPr="00F17AB8">
        <w:rPr>
          <w:rFonts w:ascii="Times" w:hAnsi="Times"/>
          <w:sz w:val="24"/>
          <w:szCs w:val="24"/>
        </w:rPr>
        <w:t xml:space="preserve"> for </w:t>
      </w:r>
      <w:r w:rsidR="00FB1958" w:rsidRPr="00F17AB8">
        <w:rPr>
          <w:rFonts w:ascii="Times" w:hAnsi="Times"/>
          <w:sz w:val="24"/>
          <w:szCs w:val="24"/>
        </w:rPr>
        <w:t>10</w:t>
      </w:r>
      <w:r w:rsidR="0032088F" w:rsidRPr="00F17AB8">
        <w:rPr>
          <w:rFonts w:ascii="Times" w:hAnsi="Times"/>
          <w:sz w:val="24"/>
          <w:szCs w:val="24"/>
        </w:rPr>
        <w:t xml:space="preserve"> minutes (total runtime is 23</w:t>
      </w:r>
      <w:r w:rsidR="00FB1958" w:rsidRPr="00F17AB8">
        <w:rPr>
          <w:rFonts w:ascii="Times" w:hAnsi="Times"/>
          <w:sz w:val="24"/>
          <w:szCs w:val="24"/>
        </w:rPr>
        <w:t>.5</w:t>
      </w:r>
      <w:r w:rsidR="0032088F" w:rsidRPr="00F17AB8">
        <w:rPr>
          <w:rFonts w:ascii="Times" w:hAnsi="Times"/>
          <w:sz w:val="24"/>
          <w:szCs w:val="24"/>
        </w:rPr>
        <w:t xml:space="preserve"> minutes).</w:t>
      </w:r>
      <w:r w:rsidR="00F304E1" w:rsidRPr="00F17AB8">
        <w:rPr>
          <w:rFonts w:ascii="Times" w:hAnsi="Times"/>
          <w:sz w:val="24"/>
          <w:szCs w:val="24"/>
        </w:rPr>
        <w:t xml:space="preserve">  Data analysis was completed using </w:t>
      </w:r>
      <w:proofErr w:type="spellStart"/>
      <w:r w:rsidR="00F304E1" w:rsidRPr="00F17AB8">
        <w:rPr>
          <w:rFonts w:ascii="Times" w:hAnsi="Times"/>
          <w:sz w:val="24"/>
          <w:szCs w:val="24"/>
        </w:rPr>
        <w:t>MultiQuant</w:t>
      </w:r>
      <w:proofErr w:type="spellEnd"/>
      <w:r w:rsidR="00F304E1" w:rsidRPr="00F17AB8">
        <w:rPr>
          <w:rFonts w:ascii="Times" w:hAnsi="Times"/>
          <w:sz w:val="24"/>
          <w:szCs w:val="24"/>
        </w:rPr>
        <w:t xml:space="preserve"> 3.0.2 (AB </w:t>
      </w:r>
      <w:proofErr w:type="spellStart"/>
      <w:r w:rsidR="00F304E1" w:rsidRPr="00F17AB8">
        <w:rPr>
          <w:rFonts w:ascii="Times" w:hAnsi="Times"/>
          <w:sz w:val="24"/>
          <w:szCs w:val="24"/>
        </w:rPr>
        <w:t>Sciex</w:t>
      </w:r>
      <w:proofErr w:type="spellEnd"/>
      <w:r w:rsidR="00F304E1" w:rsidRPr="00F17AB8">
        <w:rPr>
          <w:rFonts w:ascii="Times" w:hAnsi="Times"/>
          <w:sz w:val="24"/>
          <w:szCs w:val="24"/>
        </w:rPr>
        <w:t xml:space="preserve">) </w:t>
      </w:r>
      <w:r w:rsidR="00B771C1" w:rsidRPr="00F17AB8">
        <w:rPr>
          <w:rFonts w:ascii="Times" w:hAnsi="Times"/>
          <w:sz w:val="24"/>
          <w:szCs w:val="24"/>
        </w:rPr>
        <w:t>and normalizing the</w:t>
      </w:r>
      <w:r w:rsidR="00F116EC" w:rsidRPr="00F17AB8">
        <w:rPr>
          <w:rFonts w:ascii="Times" w:hAnsi="Times"/>
          <w:sz w:val="24"/>
          <w:szCs w:val="24"/>
        </w:rPr>
        <w:t xml:space="preserve"> unlabeled </w:t>
      </w:r>
      <w:r w:rsidR="00B771C1" w:rsidRPr="00F17AB8">
        <w:rPr>
          <w:rFonts w:ascii="Times" w:hAnsi="Times"/>
          <w:sz w:val="24"/>
          <w:szCs w:val="24"/>
        </w:rPr>
        <w:t>IAA</w:t>
      </w:r>
      <w:r w:rsidR="00F116EC" w:rsidRPr="00F17AB8">
        <w:rPr>
          <w:rFonts w:ascii="Times" w:hAnsi="Times"/>
          <w:sz w:val="24"/>
          <w:szCs w:val="24"/>
        </w:rPr>
        <w:t xml:space="preserve"> peak area</w:t>
      </w:r>
      <w:r w:rsidR="00F304E1" w:rsidRPr="00F17AB8">
        <w:rPr>
          <w:rFonts w:ascii="Times" w:hAnsi="Times"/>
          <w:sz w:val="24"/>
          <w:szCs w:val="24"/>
        </w:rPr>
        <w:t xml:space="preserve"> to </w:t>
      </w:r>
      <w:r w:rsidR="00F116EC" w:rsidRPr="00F17AB8">
        <w:rPr>
          <w:rFonts w:ascii="Times" w:hAnsi="Times"/>
          <w:sz w:val="24"/>
          <w:szCs w:val="24"/>
        </w:rPr>
        <w:t>the</w:t>
      </w:r>
      <w:r w:rsidR="009B5F4C" w:rsidRPr="00F17AB8">
        <w:rPr>
          <w:rFonts w:ascii="Times" w:hAnsi="Times"/>
          <w:sz w:val="24"/>
          <w:szCs w:val="24"/>
        </w:rPr>
        <w:t xml:space="preserve"> </w:t>
      </w:r>
      <w:r w:rsidR="00F304E1" w:rsidRPr="00F17AB8">
        <w:rPr>
          <w:rFonts w:ascii="Times" w:hAnsi="Times"/>
          <w:sz w:val="24"/>
          <w:szCs w:val="24"/>
        </w:rPr>
        <w:t xml:space="preserve">labeled </w:t>
      </w:r>
      <w:r w:rsidR="00B771C1" w:rsidRPr="00F17AB8">
        <w:rPr>
          <w:rFonts w:ascii="Times" w:hAnsi="Times"/>
          <w:sz w:val="24"/>
          <w:szCs w:val="24"/>
        </w:rPr>
        <w:t>d</w:t>
      </w:r>
      <w:r w:rsidR="00B771C1" w:rsidRPr="00F17AB8">
        <w:rPr>
          <w:rFonts w:ascii="Times" w:hAnsi="Times"/>
          <w:sz w:val="24"/>
          <w:szCs w:val="24"/>
          <w:vertAlign w:val="subscript"/>
        </w:rPr>
        <w:t>5</w:t>
      </w:r>
      <w:r w:rsidR="00B771C1" w:rsidRPr="00F17AB8">
        <w:rPr>
          <w:rFonts w:ascii="Times" w:hAnsi="Times"/>
          <w:sz w:val="24"/>
          <w:szCs w:val="24"/>
        </w:rPr>
        <w:t>-IAA</w:t>
      </w:r>
      <w:r w:rsidR="00F116EC" w:rsidRPr="00F17AB8">
        <w:rPr>
          <w:rFonts w:ascii="Times" w:hAnsi="Times"/>
          <w:sz w:val="24"/>
          <w:szCs w:val="24"/>
        </w:rPr>
        <w:t xml:space="preserve"> peak area</w:t>
      </w:r>
      <w:r w:rsidR="009B5F4C" w:rsidRPr="00F17AB8">
        <w:rPr>
          <w:rFonts w:ascii="Times" w:hAnsi="Times"/>
          <w:sz w:val="24"/>
          <w:szCs w:val="24"/>
        </w:rPr>
        <w:t xml:space="preserve">.  </w:t>
      </w:r>
      <w:r w:rsidR="00B771C1" w:rsidRPr="00F17AB8">
        <w:rPr>
          <w:rFonts w:ascii="Times" w:hAnsi="Times"/>
          <w:sz w:val="24"/>
          <w:szCs w:val="24"/>
        </w:rPr>
        <w:t xml:space="preserve">Quantitation of IAA was accomplished by observing the </w:t>
      </w:r>
      <w:r w:rsidR="00376DBF" w:rsidRPr="00F17AB8">
        <w:rPr>
          <w:rFonts w:ascii="Times" w:hAnsi="Times"/>
          <w:sz w:val="24"/>
          <w:szCs w:val="24"/>
        </w:rPr>
        <w:t xml:space="preserve">multiple reaction monitoring (MRM) transition of </w:t>
      </w:r>
      <w:r w:rsidR="00B771C1" w:rsidRPr="00F17AB8">
        <w:rPr>
          <w:rFonts w:ascii="Times" w:hAnsi="Times"/>
          <w:sz w:val="24"/>
          <w:szCs w:val="24"/>
        </w:rPr>
        <w:t xml:space="preserve">176.0 </w:t>
      </w:r>
      <w:r w:rsidR="00B771C1" w:rsidRPr="00F17AB8">
        <w:rPr>
          <w:rFonts w:ascii="Calibri" w:eastAsia="Calibri" w:hAnsi="Calibri" w:cs="Calibri"/>
          <w:sz w:val="24"/>
          <w:szCs w:val="24"/>
        </w:rPr>
        <w:t>→</w:t>
      </w:r>
      <w:r w:rsidR="00B771C1" w:rsidRPr="00F17AB8">
        <w:rPr>
          <w:rFonts w:ascii="Times" w:hAnsi="Times"/>
          <w:sz w:val="24"/>
          <w:szCs w:val="24"/>
        </w:rPr>
        <w:t xml:space="preserve"> 130.0 </w:t>
      </w:r>
      <w:r w:rsidR="00B771C1" w:rsidRPr="00F17AB8">
        <w:rPr>
          <w:rFonts w:ascii="Times" w:hAnsi="Times"/>
          <w:i/>
          <w:sz w:val="24"/>
          <w:szCs w:val="24"/>
        </w:rPr>
        <w:t>m/z</w:t>
      </w:r>
      <w:r w:rsidR="00B771C1" w:rsidRPr="00F17AB8">
        <w:rPr>
          <w:rFonts w:ascii="Times" w:hAnsi="Times"/>
          <w:sz w:val="24"/>
          <w:szCs w:val="24"/>
        </w:rPr>
        <w:t xml:space="preserve"> relative to the 181.0 </w:t>
      </w:r>
      <w:r w:rsidR="00B771C1" w:rsidRPr="00F17AB8">
        <w:rPr>
          <w:rFonts w:ascii="Calibri" w:eastAsia="Calibri" w:hAnsi="Calibri" w:cs="Calibri"/>
          <w:sz w:val="24"/>
          <w:szCs w:val="24"/>
        </w:rPr>
        <w:t>→</w:t>
      </w:r>
      <w:r w:rsidR="00B771C1" w:rsidRPr="00F17AB8">
        <w:rPr>
          <w:rFonts w:ascii="Times" w:hAnsi="Times"/>
          <w:sz w:val="24"/>
          <w:szCs w:val="24"/>
        </w:rPr>
        <w:t xml:space="preserve"> 134.0 </w:t>
      </w:r>
      <w:r w:rsidR="00B771C1" w:rsidRPr="00F17AB8">
        <w:rPr>
          <w:rFonts w:ascii="Times" w:hAnsi="Times"/>
          <w:i/>
          <w:sz w:val="24"/>
          <w:szCs w:val="24"/>
        </w:rPr>
        <w:t>m/z</w:t>
      </w:r>
      <w:r w:rsidR="00B771C1" w:rsidRPr="00F17AB8">
        <w:rPr>
          <w:rFonts w:ascii="Times" w:hAnsi="Times"/>
          <w:sz w:val="24"/>
          <w:szCs w:val="24"/>
        </w:rPr>
        <w:t xml:space="preserve"> transition for d</w:t>
      </w:r>
      <w:r w:rsidR="00B771C1" w:rsidRPr="00F17AB8">
        <w:rPr>
          <w:rFonts w:ascii="Times" w:hAnsi="Times"/>
          <w:sz w:val="24"/>
          <w:szCs w:val="24"/>
          <w:vertAlign w:val="subscript"/>
        </w:rPr>
        <w:t>5</w:t>
      </w:r>
      <w:r w:rsidR="00B771C1" w:rsidRPr="00F17AB8">
        <w:rPr>
          <w:rFonts w:ascii="Times" w:hAnsi="Times"/>
          <w:sz w:val="24"/>
          <w:szCs w:val="24"/>
        </w:rPr>
        <w:t xml:space="preserve">-IAA. </w:t>
      </w:r>
      <w:r w:rsidR="009B5F4C" w:rsidRPr="00F17AB8">
        <w:rPr>
          <w:rFonts w:ascii="Times" w:hAnsi="Times"/>
          <w:sz w:val="24"/>
          <w:szCs w:val="24"/>
        </w:rPr>
        <w:t>Calibration curves were linear (</w:t>
      </w:r>
      <w:r w:rsidR="009B5F4C" w:rsidRPr="00F17AB8">
        <w:rPr>
          <w:rFonts w:ascii="Times" w:hAnsi="Times"/>
          <w:i/>
          <w:sz w:val="24"/>
          <w:szCs w:val="24"/>
        </w:rPr>
        <w:t>r</w:t>
      </w:r>
      <w:r w:rsidR="009B5F4C" w:rsidRPr="00F17AB8">
        <w:rPr>
          <w:rFonts w:ascii="Times" w:hAnsi="Times"/>
          <w:sz w:val="24"/>
          <w:szCs w:val="24"/>
        </w:rPr>
        <w:t xml:space="preserve"> values = &gt;0.99) within the ranges provided above applying</w:t>
      </w:r>
      <w:r w:rsidR="00376DBF" w:rsidRPr="00F17AB8">
        <w:rPr>
          <w:rFonts w:ascii="Times" w:hAnsi="Times"/>
          <w:sz w:val="24"/>
          <w:szCs w:val="24"/>
        </w:rPr>
        <w:t xml:space="preserve"> </w:t>
      </w:r>
      <w:proofErr w:type="gramStart"/>
      <w:r w:rsidR="00376DBF" w:rsidRPr="00F17AB8">
        <w:rPr>
          <w:rFonts w:ascii="Times" w:hAnsi="Times"/>
          <w:sz w:val="24"/>
          <w:szCs w:val="24"/>
        </w:rPr>
        <w:t xml:space="preserve">a </w:t>
      </w:r>
      <w:r w:rsidR="009B5F4C" w:rsidRPr="00F17AB8">
        <w:rPr>
          <w:rFonts w:ascii="Times" w:hAnsi="Times"/>
          <w:sz w:val="24"/>
          <w:szCs w:val="24"/>
        </w:rPr>
        <w:t xml:space="preserve"> 1</w:t>
      </w:r>
      <w:proofErr w:type="gramEnd"/>
      <w:r w:rsidR="009B5F4C" w:rsidRPr="00F17AB8">
        <w:rPr>
          <w:rFonts w:ascii="Times" w:hAnsi="Times"/>
          <w:sz w:val="24"/>
          <w:szCs w:val="24"/>
        </w:rPr>
        <w:t>/x weighting</w:t>
      </w:r>
      <w:r w:rsidR="00376DBF" w:rsidRPr="00F17AB8">
        <w:rPr>
          <w:rFonts w:ascii="Times" w:hAnsi="Times"/>
          <w:sz w:val="24"/>
          <w:szCs w:val="24"/>
        </w:rPr>
        <w:t xml:space="preserve"> scheme</w:t>
      </w:r>
      <w:r w:rsidR="009B5F4C" w:rsidRPr="00F17AB8">
        <w:rPr>
          <w:rFonts w:ascii="Times" w:hAnsi="Times"/>
          <w:sz w:val="24"/>
          <w:szCs w:val="24"/>
        </w:rPr>
        <w:t xml:space="preserve">. </w:t>
      </w:r>
      <w:r w:rsidR="00907515" w:rsidRPr="00F17AB8">
        <w:rPr>
          <w:rFonts w:ascii="Times" w:hAnsi="Times"/>
          <w:sz w:val="24"/>
          <w:szCs w:val="24"/>
        </w:rPr>
        <w:t xml:space="preserve"> </w:t>
      </w:r>
    </w:p>
    <w:p w14:paraId="54081694" w14:textId="77777777" w:rsidR="00C96ED6" w:rsidRPr="00F17AB8" w:rsidRDefault="00062B67" w:rsidP="00F17AB8">
      <w:pPr>
        <w:spacing w:line="360" w:lineRule="auto"/>
        <w:outlineLvl w:val="0"/>
        <w:rPr>
          <w:rFonts w:ascii="Times" w:hAnsi="Times"/>
          <w:b/>
          <w:sz w:val="24"/>
          <w:szCs w:val="24"/>
        </w:rPr>
      </w:pPr>
      <w:r w:rsidRPr="00F17AB8">
        <w:rPr>
          <w:rFonts w:ascii="Times" w:hAnsi="Times"/>
          <w:b/>
          <w:sz w:val="24"/>
          <w:szCs w:val="24"/>
        </w:rPr>
        <w:t>IAA</w:t>
      </w:r>
      <w:r w:rsidR="00E31472" w:rsidRPr="00F17AB8">
        <w:rPr>
          <w:rFonts w:ascii="Times" w:hAnsi="Times"/>
          <w:b/>
          <w:sz w:val="24"/>
          <w:szCs w:val="24"/>
        </w:rPr>
        <w:t xml:space="preserve"> Extraction</w:t>
      </w:r>
      <w:r w:rsidRPr="00F17AB8">
        <w:rPr>
          <w:rFonts w:ascii="Times" w:hAnsi="Times"/>
          <w:b/>
          <w:sz w:val="24"/>
          <w:szCs w:val="24"/>
        </w:rPr>
        <w:t xml:space="preserve"> from Bacterial Cultures</w:t>
      </w:r>
    </w:p>
    <w:p w14:paraId="5556FE56" w14:textId="38B87052" w:rsidR="00C96ED6" w:rsidRPr="00F17AB8" w:rsidRDefault="00062B67" w:rsidP="00F17AB8">
      <w:pPr>
        <w:spacing w:line="360" w:lineRule="auto"/>
        <w:rPr>
          <w:rFonts w:ascii="Times" w:hAnsi="Times"/>
          <w:sz w:val="24"/>
          <w:szCs w:val="24"/>
        </w:rPr>
      </w:pPr>
      <w:r w:rsidRPr="00F17AB8">
        <w:rPr>
          <w:rFonts w:ascii="Times" w:hAnsi="Times"/>
          <w:sz w:val="24"/>
          <w:szCs w:val="24"/>
        </w:rPr>
        <w:t>Frozen bacterial</w:t>
      </w:r>
      <w:r w:rsidR="00373156" w:rsidRPr="00F17AB8">
        <w:rPr>
          <w:rFonts w:ascii="Times" w:hAnsi="Times"/>
          <w:sz w:val="24"/>
          <w:szCs w:val="24"/>
        </w:rPr>
        <w:t xml:space="preserve"> cultures were thawed on ice</w:t>
      </w:r>
      <w:r w:rsidR="00C96ED6" w:rsidRPr="00F17AB8">
        <w:rPr>
          <w:rFonts w:ascii="Times" w:hAnsi="Times"/>
          <w:sz w:val="24"/>
          <w:szCs w:val="24"/>
        </w:rPr>
        <w:t>.</w:t>
      </w:r>
      <w:r w:rsidR="00373156" w:rsidRPr="00F17AB8">
        <w:rPr>
          <w:rFonts w:ascii="Times" w:hAnsi="Times"/>
          <w:sz w:val="24"/>
          <w:szCs w:val="24"/>
        </w:rPr>
        <w:t xml:space="preserve">  A 10 </w:t>
      </w:r>
      <w:r w:rsidR="00B771C1" w:rsidRPr="00F17AB8">
        <w:rPr>
          <w:rFonts w:ascii="Times" w:hAnsi="Times"/>
          <w:sz w:val="24"/>
          <w:szCs w:val="24"/>
        </w:rPr>
        <w:t>µ</w:t>
      </w:r>
      <w:r w:rsidR="00373156" w:rsidRPr="00F17AB8">
        <w:rPr>
          <w:rFonts w:ascii="Times" w:hAnsi="Times"/>
          <w:sz w:val="24"/>
          <w:szCs w:val="24"/>
        </w:rPr>
        <w:t xml:space="preserve">L aliquot </w:t>
      </w:r>
      <w:r w:rsidR="00705156" w:rsidRPr="00F17AB8">
        <w:rPr>
          <w:rFonts w:ascii="Times" w:hAnsi="Times"/>
          <w:sz w:val="24"/>
          <w:szCs w:val="24"/>
        </w:rPr>
        <w:t xml:space="preserve">of thawed culture </w:t>
      </w:r>
      <w:r w:rsidR="00373156" w:rsidRPr="00F17AB8">
        <w:rPr>
          <w:rFonts w:ascii="Times" w:hAnsi="Times"/>
          <w:sz w:val="24"/>
          <w:szCs w:val="24"/>
        </w:rPr>
        <w:t xml:space="preserve">was transferred to a </w:t>
      </w:r>
      <w:proofErr w:type="spellStart"/>
      <w:r w:rsidR="00373156" w:rsidRPr="00F17AB8">
        <w:rPr>
          <w:rFonts w:ascii="Times" w:hAnsi="Times"/>
          <w:sz w:val="24"/>
          <w:szCs w:val="24"/>
        </w:rPr>
        <w:t>microcentrifuge</w:t>
      </w:r>
      <w:proofErr w:type="spellEnd"/>
      <w:r w:rsidR="00373156" w:rsidRPr="00F17AB8">
        <w:rPr>
          <w:rFonts w:ascii="Times" w:hAnsi="Times"/>
          <w:sz w:val="24"/>
          <w:szCs w:val="24"/>
        </w:rPr>
        <w:t xml:space="preserve"> tube containing 10 </w:t>
      </w:r>
      <w:bookmarkStart w:id="1" w:name="OLE_LINK5"/>
      <w:r w:rsidR="00B771C1" w:rsidRPr="00F17AB8">
        <w:rPr>
          <w:rFonts w:ascii="Times" w:hAnsi="Times"/>
          <w:sz w:val="24"/>
          <w:szCs w:val="24"/>
        </w:rPr>
        <w:t>µ</w:t>
      </w:r>
      <w:bookmarkEnd w:id="1"/>
      <w:r w:rsidR="00373156" w:rsidRPr="00F17AB8">
        <w:rPr>
          <w:rFonts w:ascii="Times" w:hAnsi="Times"/>
          <w:sz w:val="24"/>
          <w:szCs w:val="24"/>
        </w:rPr>
        <w:t xml:space="preserve">L of 2.5 </w:t>
      </w:r>
      <w:r w:rsidR="00B771C1" w:rsidRPr="00F17AB8">
        <w:rPr>
          <w:rFonts w:ascii="Times" w:hAnsi="Times"/>
          <w:sz w:val="24"/>
          <w:szCs w:val="24"/>
        </w:rPr>
        <w:t>µ</w:t>
      </w:r>
      <w:r w:rsidR="00373156" w:rsidRPr="00F17AB8">
        <w:rPr>
          <w:rFonts w:ascii="Times" w:hAnsi="Times"/>
          <w:sz w:val="24"/>
          <w:szCs w:val="24"/>
        </w:rPr>
        <w:t>M d</w:t>
      </w:r>
      <w:r w:rsidR="00373156" w:rsidRPr="00F17AB8">
        <w:rPr>
          <w:rFonts w:ascii="Times" w:hAnsi="Times"/>
          <w:sz w:val="24"/>
          <w:szCs w:val="24"/>
          <w:vertAlign w:val="subscript"/>
        </w:rPr>
        <w:t>5</w:t>
      </w:r>
      <w:r w:rsidR="00373156" w:rsidRPr="00F17AB8">
        <w:rPr>
          <w:rFonts w:ascii="Times" w:hAnsi="Times"/>
          <w:sz w:val="24"/>
          <w:szCs w:val="24"/>
        </w:rPr>
        <w:t xml:space="preserve">-IAA and 180 </w:t>
      </w:r>
      <w:r w:rsidR="00B771C1" w:rsidRPr="00F17AB8">
        <w:rPr>
          <w:rFonts w:ascii="Times" w:hAnsi="Times"/>
          <w:sz w:val="24"/>
          <w:szCs w:val="24"/>
        </w:rPr>
        <w:t>µ</w:t>
      </w:r>
      <w:r w:rsidR="00373156" w:rsidRPr="00F17AB8">
        <w:rPr>
          <w:rFonts w:ascii="Times" w:hAnsi="Times"/>
          <w:sz w:val="24"/>
          <w:szCs w:val="24"/>
        </w:rPr>
        <w:t xml:space="preserve">L 30% methanol </w:t>
      </w:r>
      <w:r w:rsidR="00C96ED6" w:rsidRPr="00F17AB8">
        <w:rPr>
          <w:rFonts w:ascii="Times" w:hAnsi="Times"/>
          <w:sz w:val="24"/>
          <w:szCs w:val="24"/>
        </w:rPr>
        <w:t xml:space="preserve">  </w:t>
      </w:r>
      <w:r w:rsidR="00DF01E1" w:rsidRPr="00F17AB8">
        <w:rPr>
          <w:rFonts w:ascii="Times" w:hAnsi="Times"/>
          <w:sz w:val="24"/>
          <w:szCs w:val="24"/>
        </w:rPr>
        <w:lastRenderedPageBreak/>
        <w:t xml:space="preserve">Samples were </w:t>
      </w:r>
      <w:r w:rsidR="00705156" w:rsidRPr="00F17AB8">
        <w:rPr>
          <w:rFonts w:ascii="Times" w:hAnsi="Times"/>
          <w:sz w:val="24"/>
          <w:szCs w:val="24"/>
        </w:rPr>
        <w:t>vortexed</w:t>
      </w:r>
      <w:r w:rsidRPr="00F17AB8">
        <w:rPr>
          <w:rFonts w:ascii="Times" w:hAnsi="Times"/>
          <w:sz w:val="24"/>
          <w:szCs w:val="24"/>
        </w:rPr>
        <w:t xml:space="preserve"> for 30 s, then </w:t>
      </w:r>
      <w:r w:rsidR="00DF01E1" w:rsidRPr="00F17AB8">
        <w:rPr>
          <w:rFonts w:ascii="Times" w:hAnsi="Times"/>
          <w:sz w:val="24"/>
          <w:szCs w:val="24"/>
        </w:rPr>
        <w:t xml:space="preserve">filtered </w:t>
      </w:r>
      <w:r w:rsidR="00C96ED6" w:rsidRPr="00F17AB8">
        <w:rPr>
          <w:rFonts w:ascii="Times" w:hAnsi="Times"/>
          <w:sz w:val="24"/>
          <w:szCs w:val="24"/>
        </w:rPr>
        <w:t xml:space="preserve">through 0.8 </w:t>
      </w:r>
      <w:bookmarkStart w:id="2" w:name="OLE_LINK13"/>
      <w:bookmarkStart w:id="3" w:name="OLE_LINK14"/>
      <w:bookmarkStart w:id="4" w:name="OLE_LINK15"/>
      <w:r w:rsidR="00C96ED6" w:rsidRPr="00F17AB8">
        <w:rPr>
          <w:rFonts w:ascii="Times" w:hAnsi="Times"/>
          <w:sz w:val="24"/>
          <w:szCs w:val="24"/>
        </w:rPr>
        <w:t>µ</w:t>
      </w:r>
      <w:bookmarkEnd w:id="2"/>
      <w:bookmarkEnd w:id="3"/>
      <w:bookmarkEnd w:id="4"/>
      <w:r w:rsidRPr="00F17AB8">
        <w:rPr>
          <w:rFonts w:ascii="Times" w:hAnsi="Times"/>
          <w:sz w:val="24"/>
          <w:szCs w:val="24"/>
        </w:rPr>
        <w:t xml:space="preserve">m </w:t>
      </w:r>
      <w:r w:rsidRPr="0083583D">
        <w:rPr>
          <w:rFonts w:ascii="Times" w:hAnsi="Times"/>
          <w:sz w:val="24"/>
          <w:szCs w:val="24"/>
        </w:rPr>
        <w:t>PES spin-filters</w:t>
      </w:r>
      <w:r w:rsidR="0083583D" w:rsidRPr="0083583D">
        <w:rPr>
          <w:rFonts w:ascii="Times" w:hAnsi="Times"/>
          <w:sz w:val="24"/>
          <w:szCs w:val="24"/>
        </w:rPr>
        <w:t xml:space="preserve"> (</w:t>
      </w:r>
      <w:proofErr w:type="spellStart"/>
      <w:r w:rsidR="0083583D" w:rsidRPr="0083583D">
        <w:rPr>
          <w:rFonts w:ascii="Times" w:hAnsi="Times" w:cs="Calibri"/>
          <w:sz w:val="24"/>
          <w:szCs w:val="24"/>
        </w:rPr>
        <w:t>Sartorious</w:t>
      </w:r>
      <w:proofErr w:type="spellEnd"/>
      <w:r w:rsidR="0083583D" w:rsidRPr="0083583D">
        <w:rPr>
          <w:rFonts w:ascii="Times" w:hAnsi="Times" w:cs="Calibri"/>
          <w:sz w:val="24"/>
          <w:szCs w:val="24"/>
        </w:rPr>
        <w:t>)</w:t>
      </w:r>
      <w:r w:rsidRPr="0083583D">
        <w:rPr>
          <w:rFonts w:ascii="Times" w:hAnsi="Times"/>
          <w:sz w:val="24"/>
          <w:szCs w:val="24"/>
        </w:rPr>
        <w:t xml:space="preserve">.  </w:t>
      </w:r>
      <w:r w:rsidR="00C96ED6" w:rsidRPr="0083583D">
        <w:rPr>
          <w:rFonts w:ascii="Times" w:hAnsi="Times"/>
          <w:sz w:val="24"/>
          <w:szCs w:val="24"/>
        </w:rPr>
        <w:t>40</w:t>
      </w:r>
      <w:r w:rsidR="00C96ED6" w:rsidRPr="00F17AB8">
        <w:rPr>
          <w:rFonts w:ascii="Times" w:hAnsi="Times"/>
          <w:sz w:val="24"/>
          <w:szCs w:val="24"/>
        </w:rPr>
        <w:t xml:space="preserve"> µL of clarified supernatant</w:t>
      </w:r>
      <w:r w:rsidR="00DF01E1" w:rsidRPr="00F17AB8">
        <w:rPr>
          <w:rFonts w:ascii="Times" w:hAnsi="Times"/>
          <w:sz w:val="24"/>
          <w:szCs w:val="24"/>
        </w:rPr>
        <w:t xml:space="preserve"> was transferred</w:t>
      </w:r>
      <w:r w:rsidR="00C96ED6" w:rsidRPr="00F17AB8">
        <w:rPr>
          <w:rFonts w:ascii="Times" w:hAnsi="Times"/>
          <w:sz w:val="24"/>
          <w:szCs w:val="24"/>
        </w:rPr>
        <w:t xml:space="preserve"> to HPLC vials; inject</w:t>
      </w:r>
      <w:r w:rsidR="00DF01E1" w:rsidRPr="00F17AB8">
        <w:rPr>
          <w:rFonts w:ascii="Times" w:hAnsi="Times"/>
          <w:sz w:val="24"/>
          <w:szCs w:val="24"/>
        </w:rPr>
        <w:t>ed</w:t>
      </w:r>
      <w:r w:rsidR="00C96ED6" w:rsidRPr="00F17AB8">
        <w:rPr>
          <w:rFonts w:ascii="Times" w:hAnsi="Times"/>
          <w:sz w:val="24"/>
          <w:szCs w:val="24"/>
        </w:rPr>
        <w:t xml:space="preserve"> 2 µL of sample onto column.</w:t>
      </w:r>
    </w:p>
    <w:p w14:paraId="05680987" w14:textId="77777777" w:rsidR="00B771C1" w:rsidRPr="00F17AB8" w:rsidRDefault="00B771C1" w:rsidP="00F17AB8">
      <w:pPr>
        <w:spacing w:line="360" w:lineRule="auto"/>
        <w:outlineLvl w:val="0"/>
        <w:rPr>
          <w:rFonts w:ascii="Times" w:hAnsi="Times"/>
          <w:b/>
          <w:sz w:val="24"/>
          <w:szCs w:val="24"/>
        </w:rPr>
      </w:pPr>
      <w:r w:rsidRPr="00F17AB8">
        <w:rPr>
          <w:rFonts w:ascii="Times" w:hAnsi="Times"/>
          <w:b/>
          <w:sz w:val="24"/>
          <w:szCs w:val="24"/>
        </w:rPr>
        <w:t>Compound-dependent parameters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2"/>
        <w:gridCol w:w="3033"/>
        <w:gridCol w:w="1124"/>
        <w:gridCol w:w="1085"/>
        <w:gridCol w:w="1090"/>
        <w:gridCol w:w="1266"/>
      </w:tblGrid>
      <w:tr w:rsidR="00F036A1" w:rsidRPr="00F17AB8" w14:paraId="77B445C1" w14:textId="77777777" w:rsidTr="00F036A1">
        <w:tc>
          <w:tcPr>
            <w:tcW w:w="937" w:type="pct"/>
          </w:tcPr>
          <w:p w14:paraId="0342432F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Compound</w:t>
            </w:r>
          </w:p>
        </w:tc>
        <w:tc>
          <w:tcPr>
            <w:tcW w:w="1622" w:type="pct"/>
          </w:tcPr>
          <w:p w14:paraId="20180BF6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Retention time (min)</w:t>
            </w:r>
          </w:p>
        </w:tc>
        <w:tc>
          <w:tcPr>
            <w:tcW w:w="601" w:type="pct"/>
          </w:tcPr>
          <w:p w14:paraId="558FA473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 xml:space="preserve">DP </w:t>
            </w:r>
            <w:bookmarkStart w:id="5" w:name="OLE_LINK1"/>
            <w:bookmarkStart w:id="6" w:name="OLE_LINK2"/>
            <w:bookmarkStart w:id="7" w:name="OLE_LINK3"/>
            <w:bookmarkStart w:id="8" w:name="OLE_LINK4"/>
            <w:r w:rsidRPr="00F17AB8">
              <w:rPr>
                <w:rFonts w:ascii="Times" w:hAnsi="Times"/>
                <w:sz w:val="24"/>
                <w:szCs w:val="24"/>
              </w:rPr>
              <w:t>(V)</w:t>
            </w:r>
            <w:bookmarkEnd w:id="5"/>
            <w:bookmarkEnd w:id="6"/>
            <w:bookmarkEnd w:id="7"/>
            <w:bookmarkEnd w:id="8"/>
          </w:p>
        </w:tc>
        <w:tc>
          <w:tcPr>
            <w:tcW w:w="580" w:type="pct"/>
          </w:tcPr>
          <w:p w14:paraId="02A4B695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EP (V)</w:t>
            </w:r>
          </w:p>
        </w:tc>
        <w:tc>
          <w:tcPr>
            <w:tcW w:w="583" w:type="pct"/>
          </w:tcPr>
          <w:p w14:paraId="03FD2DB3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CE (V)</w:t>
            </w:r>
          </w:p>
        </w:tc>
        <w:tc>
          <w:tcPr>
            <w:tcW w:w="677" w:type="pct"/>
          </w:tcPr>
          <w:p w14:paraId="22CEEF05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CXP (V)</w:t>
            </w:r>
          </w:p>
        </w:tc>
      </w:tr>
      <w:tr w:rsidR="00F036A1" w:rsidRPr="00F17AB8" w14:paraId="62B11FF4" w14:textId="77777777" w:rsidTr="00F036A1">
        <w:tc>
          <w:tcPr>
            <w:tcW w:w="937" w:type="pct"/>
          </w:tcPr>
          <w:p w14:paraId="59E501D9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IAA</w:t>
            </w:r>
          </w:p>
        </w:tc>
        <w:tc>
          <w:tcPr>
            <w:tcW w:w="1622" w:type="pct"/>
          </w:tcPr>
          <w:p w14:paraId="4184C650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9.7</w:t>
            </w:r>
          </w:p>
        </w:tc>
        <w:tc>
          <w:tcPr>
            <w:tcW w:w="601" w:type="pct"/>
          </w:tcPr>
          <w:p w14:paraId="1DB8B4CB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580" w:type="pct"/>
          </w:tcPr>
          <w:p w14:paraId="51FC9F65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583" w:type="pct"/>
          </w:tcPr>
          <w:p w14:paraId="637BC2C0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677" w:type="pct"/>
          </w:tcPr>
          <w:p w14:paraId="1DEB3085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19</w:t>
            </w:r>
          </w:p>
        </w:tc>
      </w:tr>
      <w:tr w:rsidR="00F036A1" w:rsidRPr="00F17AB8" w14:paraId="6A09D265" w14:textId="77777777" w:rsidTr="00F036A1">
        <w:tc>
          <w:tcPr>
            <w:tcW w:w="937" w:type="pct"/>
          </w:tcPr>
          <w:p w14:paraId="4023B1FA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d</w:t>
            </w:r>
            <w:r w:rsidRPr="00F17AB8">
              <w:rPr>
                <w:rFonts w:ascii="Times" w:hAnsi="Times"/>
                <w:sz w:val="24"/>
                <w:szCs w:val="24"/>
                <w:vertAlign w:val="subscript"/>
              </w:rPr>
              <w:t>5</w:t>
            </w:r>
            <w:r w:rsidRPr="00F17AB8">
              <w:rPr>
                <w:rFonts w:ascii="Times" w:hAnsi="Times"/>
                <w:sz w:val="24"/>
                <w:szCs w:val="24"/>
              </w:rPr>
              <w:t>-IAA</w:t>
            </w:r>
          </w:p>
        </w:tc>
        <w:tc>
          <w:tcPr>
            <w:tcW w:w="1622" w:type="pct"/>
          </w:tcPr>
          <w:p w14:paraId="346F9199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9.7</w:t>
            </w:r>
          </w:p>
        </w:tc>
        <w:tc>
          <w:tcPr>
            <w:tcW w:w="601" w:type="pct"/>
          </w:tcPr>
          <w:p w14:paraId="373162E4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580" w:type="pct"/>
          </w:tcPr>
          <w:p w14:paraId="7CAB832A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583" w:type="pct"/>
          </w:tcPr>
          <w:p w14:paraId="5AD3E741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677" w:type="pct"/>
          </w:tcPr>
          <w:p w14:paraId="0E5B9257" w14:textId="77777777" w:rsidR="00F036A1" w:rsidRPr="00F17AB8" w:rsidRDefault="00F036A1" w:rsidP="00F17AB8">
            <w:pPr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17AB8">
              <w:rPr>
                <w:rFonts w:ascii="Times" w:hAnsi="Times"/>
                <w:sz w:val="24"/>
                <w:szCs w:val="24"/>
              </w:rPr>
              <w:t>19</w:t>
            </w:r>
          </w:p>
        </w:tc>
      </w:tr>
    </w:tbl>
    <w:p w14:paraId="15D94EC7" w14:textId="77777777" w:rsidR="005D52F3" w:rsidRPr="00F17AB8" w:rsidRDefault="005D52F3" w:rsidP="00F17AB8">
      <w:pPr>
        <w:spacing w:line="360" w:lineRule="auto"/>
        <w:rPr>
          <w:rFonts w:ascii="Times" w:hAnsi="Times"/>
          <w:sz w:val="24"/>
          <w:szCs w:val="24"/>
        </w:rPr>
      </w:pPr>
    </w:p>
    <w:p w14:paraId="4CAFD2DA" w14:textId="77777777" w:rsidR="0098627A" w:rsidRPr="00F17AB8" w:rsidRDefault="0098627A" w:rsidP="00F17AB8">
      <w:pPr>
        <w:spacing w:line="360" w:lineRule="auto"/>
        <w:outlineLvl w:val="0"/>
        <w:rPr>
          <w:rFonts w:ascii="Times" w:hAnsi="Times"/>
          <w:sz w:val="24"/>
          <w:szCs w:val="24"/>
        </w:rPr>
      </w:pPr>
      <w:r w:rsidRPr="00F17AB8">
        <w:rPr>
          <w:rFonts w:ascii="Times" w:hAnsi="Times"/>
          <w:i/>
          <w:sz w:val="24"/>
          <w:szCs w:val="24"/>
        </w:rPr>
        <w:t>Source settings</w:t>
      </w:r>
    </w:p>
    <w:p w14:paraId="1038D5A2" w14:textId="77777777" w:rsidR="0098627A" w:rsidRPr="00F17AB8" w:rsidRDefault="0098627A" w:rsidP="00F17AB8">
      <w:pPr>
        <w:spacing w:line="360" w:lineRule="auto"/>
        <w:rPr>
          <w:rFonts w:ascii="Times" w:hAnsi="Times"/>
          <w:sz w:val="24"/>
          <w:szCs w:val="24"/>
        </w:rPr>
      </w:pPr>
      <w:proofErr w:type="spellStart"/>
      <w:r w:rsidRPr="00F17AB8">
        <w:rPr>
          <w:rFonts w:ascii="Times" w:hAnsi="Times"/>
          <w:sz w:val="24"/>
          <w:szCs w:val="24"/>
        </w:rPr>
        <w:t>Ionspray</w:t>
      </w:r>
      <w:proofErr w:type="spellEnd"/>
      <w:r w:rsidRPr="00F17AB8">
        <w:rPr>
          <w:rFonts w:ascii="Times" w:hAnsi="Times"/>
          <w:sz w:val="24"/>
          <w:szCs w:val="24"/>
        </w:rPr>
        <w:t xml:space="preserve"> voltage: 4500 V</w:t>
      </w:r>
    </w:p>
    <w:p w14:paraId="6F68528F" w14:textId="77777777" w:rsidR="0098627A" w:rsidRPr="00F17AB8" w:rsidRDefault="0098627A" w:rsidP="00F17AB8">
      <w:pPr>
        <w:spacing w:line="360" w:lineRule="auto"/>
        <w:rPr>
          <w:rFonts w:ascii="Times" w:hAnsi="Times"/>
          <w:sz w:val="24"/>
          <w:szCs w:val="24"/>
        </w:rPr>
      </w:pPr>
      <w:r w:rsidRPr="00F17AB8">
        <w:rPr>
          <w:rFonts w:ascii="Times" w:hAnsi="Times"/>
          <w:sz w:val="24"/>
          <w:szCs w:val="24"/>
        </w:rPr>
        <w:t>Curtain gas: 15</w:t>
      </w:r>
    </w:p>
    <w:p w14:paraId="10342652" w14:textId="77777777" w:rsidR="0098627A" w:rsidRPr="00F17AB8" w:rsidRDefault="0098627A" w:rsidP="00F17AB8">
      <w:pPr>
        <w:spacing w:line="360" w:lineRule="auto"/>
        <w:rPr>
          <w:rFonts w:ascii="Times" w:hAnsi="Times"/>
          <w:sz w:val="24"/>
          <w:szCs w:val="24"/>
        </w:rPr>
      </w:pPr>
      <w:r w:rsidRPr="00F17AB8">
        <w:rPr>
          <w:rFonts w:ascii="Times" w:hAnsi="Times"/>
          <w:sz w:val="24"/>
          <w:szCs w:val="24"/>
        </w:rPr>
        <w:t>Gas 1: 35</w:t>
      </w:r>
    </w:p>
    <w:p w14:paraId="3BAEE0B2" w14:textId="77777777" w:rsidR="0098627A" w:rsidRPr="00F17AB8" w:rsidRDefault="0098627A" w:rsidP="00F17AB8">
      <w:pPr>
        <w:spacing w:line="360" w:lineRule="auto"/>
        <w:rPr>
          <w:rFonts w:ascii="Times" w:hAnsi="Times"/>
          <w:sz w:val="24"/>
          <w:szCs w:val="24"/>
        </w:rPr>
      </w:pPr>
      <w:r w:rsidRPr="00F17AB8">
        <w:rPr>
          <w:rFonts w:ascii="Times" w:hAnsi="Times"/>
          <w:sz w:val="24"/>
          <w:szCs w:val="24"/>
        </w:rPr>
        <w:t>Gas 2: 35</w:t>
      </w:r>
    </w:p>
    <w:p w14:paraId="3EEEDC63" w14:textId="77777777" w:rsidR="0098627A" w:rsidRDefault="0098627A"/>
    <w:p w14:paraId="6C89A5FE" w14:textId="77777777" w:rsidR="00C96ED6" w:rsidRDefault="00C96ED6"/>
    <w:sectPr w:rsidR="00C96ED6" w:rsidSect="00DA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C8"/>
    <w:rsid w:val="000149C8"/>
    <w:rsid w:val="00040466"/>
    <w:rsid w:val="00061B1F"/>
    <w:rsid w:val="00062B67"/>
    <w:rsid w:val="00095676"/>
    <w:rsid w:val="000C0B4B"/>
    <w:rsid w:val="00236E4A"/>
    <w:rsid w:val="0024590B"/>
    <w:rsid w:val="002F6AE0"/>
    <w:rsid w:val="00310304"/>
    <w:rsid w:val="0032088F"/>
    <w:rsid w:val="00373156"/>
    <w:rsid w:val="00376DBF"/>
    <w:rsid w:val="003862B7"/>
    <w:rsid w:val="003C5431"/>
    <w:rsid w:val="003E0FD4"/>
    <w:rsid w:val="003E2482"/>
    <w:rsid w:val="004679C8"/>
    <w:rsid w:val="0048492A"/>
    <w:rsid w:val="004A19F6"/>
    <w:rsid w:val="004C2851"/>
    <w:rsid w:val="004E29E4"/>
    <w:rsid w:val="00535DD0"/>
    <w:rsid w:val="005630CC"/>
    <w:rsid w:val="005D52F3"/>
    <w:rsid w:val="00647E7F"/>
    <w:rsid w:val="006F7616"/>
    <w:rsid w:val="00705156"/>
    <w:rsid w:val="00775B14"/>
    <w:rsid w:val="00802C9A"/>
    <w:rsid w:val="0083583D"/>
    <w:rsid w:val="00890D9C"/>
    <w:rsid w:val="008E363C"/>
    <w:rsid w:val="00907515"/>
    <w:rsid w:val="00913931"/>
    <w:rsid w:val="00944261"/>
    <w:rsid w:val="0098627A"/>
    <w:rsid w:val="009B5F4C"/>
    <w:rsid w:val="00A91028"/>
    <w:rsid w:val="00A97A5D"/>
    <w:rsid w:val="00AA4BDC"/>
    <w:rsid w:val="00B117F7"/>
    <w:rsid w:val="00B20B34"/>
    <w:rsid w:val="00B3665D"/>
    <w:rsid w:val="00B62805"/>
    <w:rsid w:val="00B771C1"/>
    <w:rsid w:val="00C133A4"/>
    <w:rsid w:val="00C33667"/>
    <w:rsid w:val="00C96ED6"/>
    <w:rsid w:val="00C97B5F"/>
    <w:rsid w:val="00CD1D85"/>
    <w:rsid w:val="00CD316D"/>
    <w:rsid w:val="00D41135"/>
    <w:rsid w:val="00D80E0F"/>
    <w:rsid w:val="00D950C3"/>
    <w:rsid w:val="00DA3F2E"/>
    <w:rsid w:val="00DF01E1"/>
    <w:rsid w:val="00E31472"/>
    <w:rsid w:val="00E44F86"/>
    <w:rsid w:val="00E50D85"/>
    <w:rsid w:val="00E905E2"/>
    <w:rsid w:val="00ED3822"/>
    <w:rsid w:val="00F036A1"/>
    <w:rsid w:val="00F116EC"/>
    <w:rsid w:val="00F17AB8"/>
    <w:rsid w:val="00F304E1"/>
    <w:rsid w:val="00FA2C25"/>
    <w:rsid w:val="00FB1958"/>
    <w:rsid w:val="00FC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9204"/>
  <w15:docId w15:val="{50BDFCDE-5FE2-432A-9BA6-D948C43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Mattingly, Jonathan</dc:creator>
  <cp:lastModifiedBy>B. Kunkel</cp:lastModifiedBy>
  <cp:revision>2</cp:revision>
  <cp:lastPrinted>2017-06-27T18:27:00Z</cp:lastPrinted>
  <dcterms:created xsi:type="dcterms:W3CDTF">2017-12-16T17:37:00Z</dcterms:created>
  <dcterms:modified xsi:type="dcterms:W3CDTF">2017-12-16T17:37:00Z</dcterms:modified>
</cp:coreProperties>
</file>