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4733B" w14:textId="77777777" w:rsidR="00815AEE" w:rsidRPr="00735988" w:rsidRDefault="00815AEE" w:rsidP="00815AEE">
      <w:pPr>
        <w:spacing w:line="360" w:lineRule="auto"/>
        <w:jc w:val="center"/>
        <w:outlineLvl w:val="0"/>
        <w:rPr>
          <w:rFonts w:ascii="Times" w:hAnsi="Times"/>
          <w:b/>
          <w:lang w:val="en-GB"/>
        </w:rPr>
      </w:pPr>
    </w:p>
    <w:p w14:paraId="01255B34" w14:textId="77777777" w:rsidR="00815AEE" w:rsidRPr="00735988" w:rsidRDefault="00815AEE" w:rsidP="00815AEE">
      <w:pPr>
        <w:spacing w:line="360" w:lineRule="auto"/>
        <w:outlineLvl w:val="0"/>
        <w:rPr>
          <w:rFonts w:ascii="Times" w:hAnsi="Times"/>
          <w:b/>
          <w:lang w:val="en-GB"/>
        </w:rPr>
      </w:pPr>
    </w:p>
    <w:p w14:paraId="11289948" w14:textId="17AECFE4" w:rsidR="00815AEE" w:rsidRDefault="00815AEE" w:rsidP="00815AEE">
      <w:pPr>
        <w:spacing w:line="360" w:lineRule="auto"/>
        <w:jc w:val="center"/>
        <w:outlineLvl w:val="0"/>
        <w:rPr>
          <w:rFonts w:ascii="Times" w:hAnsi="Times"/>
          <w:b/>
          <w:lang w:val="en-GB"/>
        </w:rPr>
      </w:pPr>
    </w:p>
    <w:p w14:paraId="286A23D0" w14:textId="77777777" w:rsidR="009D0876" w:rsidRDefault="009D0876" w:rsidP="00815AEE">
      <w:pPr>
        <w:spacing w:line="360" w:lineRule="auto"/>
        <w:jc w:val="center"/>
        <w:outlineLvl w:val="0"/>
        <w:rPr>
          <w:rFonts w:ascii="Times" w:hAnsi="Times"/>
          <w:b/>
          <w:lang w:val="en-GB"/>
        </w:rPr>
      </w:pPr>
    </w:p>
    <w:p w14:paraId="17AFE436" w14:textId="2AF844F0" w:rsidR="009D0876" w:rsidRDefault="00D40A60" w:rsidP="00815AEE">
      <w:pPr>
        <w:spacing w:line="360" w:lineRule="auto"/>
        <w:jc w:val="center"/>
        <w:outlineLvl w:val="0"/>
        <w:rPr>
          <w:rFonts w:ascii="Times" w:hAnsi="Times"/>
          <w:b/>
          <w:lang w:val="en-GB"/>
        </w:rPr>
      </w:pPr>
      <w:r>
        <w:rPr>
          <w:rFonts w:ascii="Times" w:hAnsi="Times"/>
          <w:b/>
          <w:noProof/>
          <w:lang w:eastAsia="fr-FR"/>
        </w:rPr>
        <w:drawing>
          <wp:inline distT="0" distB="0" distL="0" distR="0" wp14:anchorId="11797269" wp14:editId="2C687117">
            <wp:extent cx="5145810" cy="3807423"/>
            <wp:effectExtent l="0" t="0" r="1079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7-05-08 à 16.09.25.png"/>
                    <pic:cNvPicPr/>
                  </pic:nvPicPr>
                  <pic:blipFill>
                    <a:blip r:embed="rId4">
                      <a:extLst>
                        <a:ext uri="{28A0092B-C50C-407E-A947-70E740481C1C}">
                          <a14:useLocalDpi xmlns:a14="http://schemas.microsoft.com/office/drawing/2010/main" val="0"/>
                        </a:ext>
                      </a:extLst>
                    </a:blip>
                    <a:stretch>
                      <a:fillRect/>
                    </a:stretch>
                  </pic:blipFill>
                  <pic:spPr>
                    <a:xfrm>
                      <a:off x="0" y="0"/>
                      <a:ext cx="5148730" cy="3809583"/>
                    </a:xfrm>
                    <a:prstGeom prst="rect">
                      <a:avLst/>
                    </a:prstGeom>
                  </pic:spPr>
                </pic:pic>
              </a:graphicData>
            </a:graphic>
          </wp:inline>
        </w:drawing>
      </w:r>
    </w:p>
    <w:p w14:paraId="51D29D85" w14:textId="77777777" w:rsidR="009D0876" w:rsidRDefault="009D0876" w:rsidP="00815AEE">
      <w:pPr>
        <w:spacing w:line="360" w:lineRule="auto"/>
        <w:jc w:val="center"/>
        <w:outlineLvl w:val="0"/>
        <w:rPr>
          <w:rFonts w:ascii="Times" w:hAnsi="Times"/>
          <w:b/>
          <w:lang w:val="en-GB"/>
        </w:rPr>
      </w:pPr>
    </w:p>
    <w:p w14:paraId="5D8D2C42" w14:textId="77777777" w:rsidR="00815AEE" w:rsidRPr="00735988" w:rsidRDefault="00815AEE" w:rsidP="00D40A60">
      <w:pPr>
        <w:spacing w:line="360" w:lineRule="auto"/>
        <w:outlineLvl w:val="0"/>
        <w:rPr>
          <w:rFonts w:ascii="Times" w:hAnsi="Times"/>
          <w:b/>
          <w:lang w:val="en-GB"/>
        </w:rPr>
      </w:pPr>
    </w:p>
    <w:p w14:paraId="0BE7C1CD" w14:textId="4AE6BF14" w:rsidR="00815AEE" w:rsidRPr="00735988" w:rsidRDefault="00815AEE" w:rsidP="00815AEE">
      <w:pPr>
        <w:pStyle w:val="Titre2"/>
      </w:pPr>
      <w:r w:rsidRPr="005E6066">
        <w:t>S5</w:t>
      </w:r>
      <w:r w:rsidR="005D716C">
        <w:t xml:space="preserve"> </w:t>
      </w:r>
      <w:r w:rsidR="005D716C" w:rsidRPr="008E6EAB">
        <w:rPr>
          <w:rFonts w:eastAsia="MS Gothic" w:cs="Times New Roman"/>
        </w:rPr>
        <w:t>Appendix</w:t>
      </w:r>
      <w:r w:rsidRPr="005E6066">
        <w:t>: Fast</w:t>
      </w:r>
      <w:r w:rsidRPr="00735988">
        <w:t xml:space="preserve"> kinetic dilution and determination of size variation of </w:t>
      </w:r>
      <w:proofErr w:type="spellStart"/>
      <w:r w:rsidRPr="00735988">
        <w:t>PrP</w:t>
      </w:r>
      <w:proofErr w:type="spellEnd"/>
      <w:r w:rsidRPr="00735988">
        <w:t xml:space="preserve"> assemblies by light scattering intensity</w:t>
      </w:r>
      <w:r w:rsidR="00D40A60">
        <w:t xml:space="preserve"> and templating activity assay</w:t>
      </w:r>
      <w:r w:rsidR="00CC3B5A">
        <w:t xml:space="preserve"> by</w:t>
      </w:r>
      <w:r w:rsidR="00D40A60">
        <w:t xml:space="preserve"> PMCA</w:t>
      </w:r>
      <w:r w:rsidRPr="00735988">
        <w:t>.</w:t>
      </w:r>
    </w:p>
    <w:p w14:paraId="55027AC9" w14:textId="77777777" w:rsidR="00815AEE" w:rsidRPr="00735988" w:rsidRDefault="00815AEE" w:rsidP="00815AEE">
      <w:pPr>
        <w:spacing w:line="360" w:lineRule="auto"/>
        <w:rPr>
          <w:rFonts w:ascii="Times" w:hAnsi="Times"/>
          <w:lang w:val="en-GB"/>
        </w:rPr>
      </w:pPr>
    </w:p>
    <w:p w14:paraId="5B2D5C64" w14:textId="19C19388" w:rsidR="00815AEE" w:rsidRPr="00735988" w:rsidRDefault="00815AEE" w:rsidP="00815AEE">
      <w:pPr>
        <w:spacing w:line="360" w:lineRule="auto"/>
        <w:jc w:val="both"/>
        <w:rPr>
          <w:rFonts w:ascii="Times" w:hAnsi="Times"/>
          <w:lang w:val="en-GB"/>
        </w:rPr>
      </w:pPr>
      <w:r>
        <w:rPr>
          <w:rFonts w:ascii="Times" w:hAnsi="Times"/>
          <w:lang w:val="en-GB"/>
        </w:rPr>
        <w:t>T</w:t>
      </w:r>
      <w:r w:rsidRPr="00735988">
        <w:rPr>
          <w:rFonts w:ascii="Times" w:hAnsi="Times"/>
          <w:lang w:val="en-GB"/>
        </w:rPr>
        <w:t>o study the size variation of PrP assemblies under diverse perturbation conditions</w:t>
      </w:r>
      <w:r>
        <w:rPr>
          <w:rFonts w:ascii="Times" w:hAnsi="Times"/>
          <w:lang w:val="en-GB"/>
        </w:rPr>
        <w:t>,</w:t>
      </w:r>
      <w:r w:rsidRPr="00735988">
        <w:rPr>
          <w:rFonts w:ascii="Times" w:hAnsi="Times"/>
          <w:lang w:val="en-GB"/>
        </w:rPr>
        <w:t xml:space="preserve"> we b</w:t>
      </w:r>
      <w:r w:rsidR="004D2553">
        <w:rPr>
          <w:rFonts w:ascii="Times" w:hAnsi="Times"/>
          <w:lang w:val="en-GB"/>
        </w:rPr>
        <w:t xml:space="preserve">uilt a homemade device using </w:t>
      </w:r>
      <w:proofErr w:type="spellStart"/>
      <w:r w:rsidR="004D2553">
        <w:rPr>
          <w:rFonts w:ascii="Times" w:hAnsi="Times"/>
          <w:lang w:val="en-GB"/>
        </w:rPr>
        <w:t>mil</w:t>
      </w:r>
      <w:r w:rsidRPr="00735988">
        <w:rPr>
          <w:rFonts w:ascii="Times" w:hAnsi="Times"/>
          <w:lang w:val="en-GB"/>
        </w:rPr>
        <w:t>li</w:t>
      </w:r>
      <w:proofErr w:type="spellEnd"/>
      <w:r w:rsidRPr="00735988">
        <w:rPr>
          <w:rFonts w:ascii="Times" w:hAnsi="Times"/>
          <w:lang w:val="en-GB"/>
        </w:rPr>
        <w:t>-fluidic system coupled to a homemade static light scattering device (SLS). The conception of this last leads to follow the size variation of protein aggregates in few molecules (i.e. low concentration). The high sensitivity of the SLS is mainly due to the use of laser beam with transvers mode TM00 with a waist of 2</w:t>
      </w:r>
      <w:r w:rsidRPr="00735988">
        <w:rPr>
          <w:rFonts w:ascii="Symbol" w:hAnsi="Symbol"/>
          <w:lang w:val="en-GB"/>
        </w:rPr>
        <w:t></w:t>
      </w:r>
      <w:r w:rsidRPr="00735988">
        <w:rPr>
          <w:rFonts w:ascii="Times" w:hAnsi="Times"/>
          <w:lang w:val="en-GB"/>
        </w:rPr>
        <w:t>m and a short wavelength (</w:t>
      </w:r>
      <w:r w:rsidRPr="00735988">
        <w:rPr>
          <w:rFonts w:ascii="Symbol" w:hAnsi="Symbol"/>
          <w:lang w:val="en-GB"/>
        </w:rPr>
        <w:t></w:t>
      </w:r>
      <w:r w:rsidRPr="00735988">
        <w:rPr>
          <w:rFonts w:ascii="Times" w:hAnsi="Times"/>
          <w:lang w:val="en-GB"/>
        </w:rPr>
        <w:t xml:space="preserve">= 405nm, 450nm and 532nm). </w:t>
      </w:r>
    </w:p>
    <w:p w14:paraId="763E4D54" w14:textId="77777777" w:rsidR="00815AEE" w:rsidRPr="00735988" w:rsidRDefault="00815AEE" w:rsidP="00815AEE">
      <w:pPr>
        <w:spacing w:line="360" w:lineRule="auto"/>
        <w:jc w:val="both"/>
        <w:rPr>
          <w:rFonts w:ascii="Times" w:hAnsi="Times"/>
          <w:lang w:val="en-GB"/>
        </w:rPr>
      </w:pPr>
      <w:r w:rsidRPr="00735988">
        <w:rPr>
          <w:rFonts w:ascii="Times" w:hAnsi="Times"/>
          <w:lang w:val="en-GB"/>
        </w:rPr>
        <w:t>It must be emphasis</w:t>
      </w:r>
      <w:r>
        <w:rPr>
          <w:rFonts w:ascii="Times" w:hAnsi="Times"/>
          <w:lang w:val="en-GB"/>
        </w:rPr>
        <w:t>ed</w:t>
      </w:r>
      <w:r w:rsidRPr="00735988">
        <w:rPr>
          <w:rFonts w:ascii="Times" w:hAnsi="Times"/>
          <w:lang w:val="en-GB"/>
        </w:rPr>
        <w:t xml:space="preserve"> that due to the low concentration of </w:t>
      </w:r>
      <w:r>
        <w:rPr>
          <w:rFonts w:ascii="Times" w:hAnsi="Times"/>
          <w:lang w:val="en-GB"/>
        </w:rPr>
        <w:t>p</w:t>
      </w:r>
      <w:r w:rsidRPr="00735988">
        <w:rPr>
          <w:rFonts w:ascii="Times" w:hAnsi="Times"/>
          <w:lang w:val="en-GB"/>
        </w:rPr>
        <w:t xml:space="preserve">rion assemblies, the use of conventional spectroscopy approaches such as </w:t>
      </w:r>
      <w:proofErr w:type="spellStart"/>
      <w:r w:rsidRPr="00735988">
        <w:rPr>
          <w:rFonts w:ascii="Times" w:hAnsi="Times"/>
          <w:lang w:val="en-GB"/>
        </w:rPr>
        <w:t>Thioflavin</w:t>
      </w:r>
      <w:proofErr w:type="spellEnd"/>
      <w:r w:rsidRPr="00735988">
        <w:rPr>
          <w:rFonts w:ascii="Times" w:hAnsi="Times"/>
          <w:lang w:val="en-GB"/>
        </w:rPr>
        <w:t xml:space="preserve">-T probe is inefficient. </w:t>
      </w:r>
    </w:p>
    <w:p w14:paraId="4F298A06" w14:textId="77777777" w:rsidR="00815AEE" w:rsidRPr="00735988" w:rsidRDefault="00815AEE" w:rsidP="00815AEE">
      <w:pPr>
        <w:spacing w:line="360" w:lineRule="auto"/>
        <w:jc w:val="both"/>
        <w:rPr>
          <w:rFonts w:ascii="Times" w:hAnsi="Times"/>
          <w:lang w:val="en-GB"/>
        </w:rPr>
      </w:pPr>
      <w:r w:rsidRPr="00735988">
        <w:rPr>
          <w:rFonts w:ascii="Times" w:hAnsi="Times"/>
          <w:lang w:val="en-GB"/>
        </w:rPr>
        <w:lastRenderedPageBreak/>
        <w:t>Our system of rapid dilution can be divided into two main compartment (</w:t>
      </w:r>
      <w:r w:rsidRPr="005D716C">
        <w:rPr>
          <w:rFonts w:ascii="Times" w:hAnsi="Times"/>
          <w:b/>
          <w:lang w:val="en-GB"/>
        </w:rPr>
        <w:t>A</w:t>
      </w:r>
      <w:r w:rsidRPr="00735988">
        <w:rPr>
          <w:rFonts w:ascii="Times" w:hAnsi="Times"/>
          <w:lang w:val="en-GB"/>
        </w:rPr>
        <w:t xml:space="preserve">): The dilution compartment which include all the fluidic circuit and the detection system using the SLS. The fluidic circulation is </w:t>
      </w:r>
      <w:r>
        <w:rPr>
          <w:rFonts w:ascii="Times" w:hAnsi="Times"/>
          <w:lang w:val="en-GB"/>
        </w:rPr>
        <w:t>performed</w:t>
      </w:r>
      <w:r w:rsidRPr="00735988">
        <w:rPr>
          <w:rFonts w:ascii="Times" w:hAnsi="Times"/>
          <w:lang w:val="en-GB"/>
        </w:rPr>
        <w:t xml:space="preserve"> by using piezo-</w:t>
      </w:r>
      <w:proofErr w:type="spellStart"/>
      <w:r w:rsidRPr="00735988">
        <w:rPr>
          <w:rFonts w:ascii="Times" w:hAnsi="Times"/>
          <w:lang w:val="en-GB"/>
        </w:rPr>
        <w:t>micropump</w:t>
      </w:r>
      <w:proofErr w:type="spellEnd"/>
      <w:r w:rsidRPr="00735988">
        <w:rPr>
          <w:rFonts w:ascii="Times" w:hAnsi="Times"/>
          <w:lang w:val="en-GB"/>
        </w:rPr>
        <w:t xml:space="preserve"> with a flow rate of 930</w:t>
      </w:r>
      <w:r w:rsidRPr="00735988">
        <w:rPr>
          <w:rFonts w:ascii="Symbol" w:hAnsi="Symbol"/>
          <w:lang w:val="en-GB"/>
        </w:rPr>
        <w:t></w:t>
      </w:r>
      <w:r w:rsidRPr="00735988">
        <w:rPr>
          <w:rFonts w:ascii="Times" w:hAnsi="Times"/>
          <w:lang w:val="en-GB"/>
        </w:rPr>
        <w:t>l/min. The total volume of the system is 430</w:t>
      </w:r>
      <w:r w:rsidRPr="00735988">
        <w:rPr>
          <w:rFonts w:ascii="Symbol" w:hAnsi="Symbol"/>
          <w:lang w:val="en-GB"/>
        </w:rPr>
        <w:t></w:t>
      </w:r>
      <w:r w:rsidRPr="00735988">
        <w:rPr>
          <w:rFonts w:ascii="Times" w:hAnsi="Times"/>
          <w:lang w:val="en-GB"/>
        </w:rPr>
        <w:t xml:space="preserve">l. The temperature of the system is precisely controlled using Peltier system and all experiments have been performed at 25°C. </w:t>
      </w:r>
    </w:p>
    <w:p w14:paraId="07A0E16C" w14:textId="77777777" w:rsidR="00815AEE" w:rsidRPr="00735988" w:rsidRDefault="00815AEE" w:rsidP="00815AEE">
      <w:pPr>
        <w:spacing w:line="360" w:lineRule="auto"/>
        <w:jc w:val="both"/>
        <w:rPr>
          <w:rFonts w:ascii="Times" w:hAnsi="Times"/>
          <w:lang w:val="en-GB"/>
        </w:rPr>
      </w:pPr>
      <w:r w:rsidRPr="00735988">
        <w:rPr>
          <w:rFonts w:ascii="Times" w:hAnsi="Times"/>
          <w:lang w:val="en-GB"/>
        </w:rPr>
        <w:t>As shown in (</w:t>
      </w:r>
      <w:r w:rsidRPr="005D716C">
        <w:rPr>
          <w:rFonts w:ascii="Times" w:hAnsi="Times"/>
          <w:b/>
          <w:lang w:val="en-GB"/>
        </w:rPr>
        <w:t>B</w:t>
      </w:r>
      <w:r w:rsidRPr="00735988">
        <w:rPr>
          <w:rFonts w:ascii="Times" w:hAnsi="Times"/>
          <w:lang w:val="en-GB"/>
        </w:rPr>
        <w:t xml:space="preserve">) the purified 263K assemblies </w:t>
      </w:r>
      <w:r>
        <w:rPr>
          <w:rFonts w:ascii="Times" w:hAnsi="Times"/>
          <w:lang w:val="en-GB"/>
        </w:rPr>
        <w:t>have</w:t>
      </w:r>
      <w:r w:rsidRPr="00735988">
        <w:rPr>
          <w:rFonts w:ascii="Times" w:hAnsi="Times"/>
          <w:lang w:val="en-GB"/>
        </w:rPr>
        <w:t xml:space="preserve"> been automatically injected in order to obtain 20nM equivalent to monomer at final concentration. </w:t>
      </w:r>
    </w:p>
    <w:p w14:paraId="41F4AC86" w14:textId="77777777" w:rsidR="00815AEE" w:rsidRPr="00735988" w:rsidRDefault="00815AEE" w:rsidP="00815AEE">
      <w:pPr>
        <w:spacing w:line="360" w:lineRule="auto"/>
        <w:rPr>
          <w:rFonts w:ascii="Times" w:hAnsi="Times"/>
          <w:lang w:val="en-GB"/>
        </w:rPr>
      </w:pPr>
      <w:r w:rsidRPr="00735988">
        <w:rPr>
          <w:rFonts w:ascii="Times" w:hAnsi="Times"/>
          <w:lang w:val="en-GB"/>
        </w:rPr>
        <w:t>The variation of the molecular weight of</w:t>
      </w:r>
      <w:r>
        <w:rPr>
          <w:rFonts w:ascii="Times" w:hAnsi="Times"/>
          <w:lang w:val="en-GB"/>
        </w:rPr>
        <w:t xml:space="preserve"> a diluted solution containing heterogeneous</w:t>
      </w:r>
      <w:r w:rsidRPr="00735988">
        <w:rPr>
          <w:rFonts w:ascii="Times" w:hAnsi="Times"/>
          <w:lang w:val="en-GB"/>
        </w:rPr>
        <w:t xml:space="preserve"> object</w:t>
      </w:r>
      <w:r>
        <w:rPr>
          <w:rFonts w:ascii="Times" w:hAnsi="Times"/>
          <w:lang w:val="en-GB"/>
        </w:rPr>
        <w:t>s</w:t>
      </w:r>
      <w:r w:rsidRPr="00735988">
        <w:rPr>
          <w:rFonts w:ascii="Times" w:hAnsi="Times"/>
          <w:lang w:val="en-GB"/>
        </w:rPr>
        <w:t xml:space="preserve"> </w:t>
      </w:r>
      <w:r>
        <w:rPr>
          <w:rFonts w:ascii="Times" w:hAnsi="Times"/>
          <w:lang w:val="en-GB"/>
        </w:rPr>
        <w:t>is</w:t>
      </w:r>
      <w:r w:rsidRPr="00735988">
        <w:rPr>
          <w:rFonts w:ascii="Times" w:hAnsi="Times"/>
          <w:lang w:val="en-GB"/>
        </w:rPr>
        <w:t xml:space="preserve"> explored using Rayleigh relation: </w:t>
      </w:r>
    </w:p>
    <w:p w14:paraId="628B64AC" w14:textId="77777777" w:rsidR="00815AEE" w:rsidRPr="00735988" w:rsidRDefault="005D716C" w:rsidP="00815AEE">
      <w:pPr>
        <w:spacing w:line="360" w:lineRule="auto"/>
        <w:jc w:val="center"/>
        <w:rPr>
          <w:rFonts w:eastAsiaTheme="minorEastAsia"/>
          <w:lang w:val="en-GB"/>
        </w:rPr>
      </w:pPr>
      <m:oMathPara>
        <m:oMath>
          <m:func>
            <m:funcPr>
              <m:ctrlPr>
                <w:rPr>
                  <w:rFonts w:ascii="Cambria Math" w:hAnsi="Cambria Math"/>
                  <w:i/>
                  <w:lang w:val="en-GB"/>
                </w:rPr>
              </m:ctrlPr>
            </m:funcPr>
            <m:fName>
              <m:limLow>
                <m:limLowPr>
                  <m:ctrlPr>
                    <w:rPr>
                      <w:rFonts w:ascii="Cambria Math" w:hAnsi="Cambria Math"/>
                      <w:i/>
                      <w:lang w:val="en-GB"/>
                    </w:rPr>
                  </m:ctrlPr>
                </m:limLowPr>
                <m:e>
                  <m:r>
                    <w:rPr>
                      <w:rFonts w:ascii="Cambria Math" w:hAnsi="Cambria Math"/>
                      <w:lang w:val="en-GB"/>
                    </w:rPr>
                    <m:t>Lim</m:t>
                  </m:r>
                </m:e>
                <m:lim>
                  <m:r>
                    <w:rPr>
                      <w:rFonts w:ascii="Cambria Math" w:hAnsi="Cambria Math"/>
                      <w:lang w:val="en-GB"/>
                    </w:rPr>
                    <m:t>C=0</m:t>
                  </m:r>
                </m:lim>
              </m:limLow>
            </m:fName>
            <m:e>
              <m:r>
                <w:rPr>
                  <w:rFonts w:ascii="Cambria Math" w:hAnsi="Cambria Math"/>
                  <w:lang w:val="en-GB"/>
                </w:rPr>
                <m:t>I</m:t>
              </m:r>
              <m:r>
                <m:rPr>
                  <m:scr m:val="script"/>
                </m:rPr>
                <w:rPr>
                  <w:rFonts w:ascii="Cambria Math" w:hAnsi="Cambria Math"/>
                  <w:lang w:val="en-GB"/>
                </w:rPr>
                <m:t>=R.</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i</m:t>
                  </m:r>
                </m:sup>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C</m:t>
                          </m:r>
                        </m:e>
                      </m:acc>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r>
                    <w:rPr>
                      <w:rFonts w:ascii="Cambria Math" w:hAnsi="Cambria Math"/>
                      <w:lang w:val="en-GB"/>
                    </w:rPr>
                    <m:t xml:space="preserve">.(1+ </m:t>
                  </m:r>
                  <m:sSup>
                    <m:sSupPr>
                      <m:ctrlPr>
                        <w:rPr>
                          <w:rFonts w:ascii="Cambria Math" w:hAnsi="Cambria Math"/>
                          <w:i/>
                          <w:lang w:val="en-GB"/>
                        </w:rPr>
                      </m:ctrlPr>
                    </m:sSupPr>
                    <m:e>
                      <m:r>
                        <w:rPr>
                          <w:rFonts w:ascii="Cambria Math" w:hAnsi="Cambria Math"/>
                          <w:lang w:val="en-GB"/>
                        </w:rPr>
                        <m:t>cos</m:t>
                      </m:r>
                    </m:e>
                    <m:sup>
                      <m:r>
                        <w:rPr>
                          <w:rFonts w:ascii="Cambria Math" w:hAnsi="Cambria Math"/>
                          <w:lang w:val="en-GB"/>
                        </w:rPr>
                        <m:t>2</m:t>
                      </m:r>
                    </m:sup>
                  </m:sSup>
                  <m:r>
                    <w:rPr>
                      <w:rFonts w:ascii="Cambria Math" w:hAnsi="Cambria Math"/>
                      <w:lang w:val="en-GB"/>
                    </w:rPr>
                    <m:t>θ</m:t>
                  </m:r>
                </m:e>
              </m:nary>
              <m:r>
                <w:rPr>
                  <w:rFonts w:ascii="Cambria Math" w:hAnsi="Cambria Math"/>
                  <w:lang w:val="en-GB"/>
                </w:rPr>
                <m:t>)</m:t>
              </m:r>
            </m:e>
          </m:func>
        </m:oMath>
      </m:oMathPara>
    </w:p>
    <w:p w14:paraId="18A20C14" w14:textId="77777777" w:rsidR="00815AEE" w:rsidRPr="00735988" w:rsidRDefault="00815AEE" w:rsidP="00815AEE">
      <w:pPr>
        <w:spacing w:line="360" w:lineRule="auto"/>
        <w:jc w:val="both"/>
        <w:rPr>
          <w:rFonts w:ascii="Times" w:eastAsiaTheme="minorEastAsia" w:hAnsi="Times"/>
          <w:lang w:val="en-GB"/>
        </w:rPr>
      </w:pPr>
      <w:r w:rsidRPr="00735988">
        <w:rPr>
          <w:rFonts w:ascii="Times" w:eastAsiaTheme="minorEastAsia" w:hAnsi="Times"/>
          <w:lang w:val="en-GB"/>
        </w:rPr>
        <w:t xml:space="preserve">where: </w:t>
      </w:r>
    </w:p>
    <w:p w14:paraId="1BB61CD5" w14:textId="77777777" w:rsidR="00815AEE" w:rsidRPr="00735988" w:rsidRDefault="00815AEE" w:rsidP="00815AEE">
      <w:pPr>
        <w:spacing w:line="360" w:lineRule="auto"/>
        <w:jc w:val="both"/>
        <w:rPr>
          <w:rFonts w:ascii="Times" w:eastAsiaTheme="minorEastAsia" w:hAnsi="Times"/>
          <w:lang w:val="en-GB"/>
        </w:rPr>
      </w:pPr>
      <w:r w:rsidRPr="00735988">
        <w:rPr>
          <w:rFonts w:ascii="Times" w:eastAsiaTheme="minorEastAsia" w:hAnsi="Times"/>
          <w:i/>
          <w:lang w:val="en-GB"/>
        </w:rPr>
        <w:t>I</w:t>
      </w:r>
      <w:r w:rsidRPr="00735988">
        <w:rPr>
          <w:rFonts w:ascii="Times" w:eastAsiaTheme="minorEastAsia" w:hAnsi="Times"/>
          <w:lang w:val="en-GB"/>
        </w:rPr>
        <w:t xml:space="preserve">: is the scattered intensity at angle </w:t>
      </w:r>
      <w:r w:rsidRPr="00735988">
        <w:rPr>
          <w:rFonts w:ascii="Symbol" w:eastAsiaTheme="minorEastAsia" w:hAnsi="Symbol"/>
          <w:lang w:val="en-GB"/>
        </w:rPr>
        <w:t></w:t>
      </w:r>
      <w:r w:rsidRPr="00735988">
        <w:rPr>
          <w:rFonts w:ascii="Times" w:eastAsiaTheme="minorEastAsia" w:hAnsi="Times"/>
          <w:lang w:val="en-GB"/>
        </w:rPr>
        <w:t>;</w:t>
      </w:r>
    </w:p>
    <w:p w14:paraId="347CC862" w14:textId="77777777" w:rsidR="00815AEE" w:rsidRPr="00735988" w:rsidRDefault="00815AEE" w:rsidP="00815AEE">
      <w:pPr>
        <w:spacing w:line="360" w:lineRule="auto"/>
        <w:jc w:val="both"/>
        <w:rPr>
          <w:rFonts w:ascii="Times" w:eastAsiaTheme="minorEastAsia" w:hAnsi="Times"/>
          <w:lang w:val="en-GB"/>
        </w:rPr>
      </w:pPr>
      <w:r w:rsidRPr="00735988">
        <w:rPr>
          <w:rFonts w:ascii="Times" w:eastAsiaTheme="minorEastAsia" w:hAnsi="Times"/>
          <w:i/>
          <w:lang w:val="en-GB"/>
        </w:rPr>
        <w:t>R</w:t>
      </w:r>
      <w:r w:rsidRPr="00735988">
        <w:rPr>
          <w:rFonts w:ascii="Times" w:eastAsiaTheme="minorEastAsia" w:hAnsi="Times"/>
          <w:lang w:val="en-GB"/>
        </w:rPr>
        <w:t>: Rayleigh constant by assuming that all object</w:t>
      </w:r>
      <w:r>
        <w:rPr>
          <w:rFonts w:ascii="Times" w:eastAsiaTheme="minorEastAsia" w:hAnsi="Times"/>
          <w:lang w:val="en-GB"/>
        </w:rPr>
        <w:t>s</w:t>
      </w:r>
      <w:r w:rsidRPr="00735988">
        <w:rPr>
          <w:rFonts w:ascii="Times" w:eastAsiaTheme="minorEastAsia" w:hAnsi="Times"/>
          <w:lang w:val="en-GB"/>
        </w:rPr>
        <w:t xml:space="preserve"> have significantly identical </w:t>
      </w:r>
      <w:proofErr w:type="spellStart"/>
      <w:r w:rsidRPr="00735988">
        <w:rPr>
          <w:rFonts w:ascii="Times" w:eastAsiaTheme="minorEastAsia" w:hAnsi="Times"/>
          <w:lang w:val="en-GB"/>
        </w:rPr>
        <w:t>dn</w:t>
      </w:r>
      <w:proofErr w:type="spellEnd"/>
      <w:r w:rsidRPr="00735988">
        <w:rPr>
          <w:rFonts w:ascii="Times" w:eastAsiaTheme="minorEastAsia" w:hAnsi="Times"/>
          <w:lang w:val="en-GB"/>
        </w:rPr>
        <w:t xml:space="preserve">/dc. </w:t>
      </w:r>
    </w:p>
    <w:p w14:paraId="32202980" w14:textId="77777777" w:rsidR="00815AEE" w:rsidRPr="00735988" w:rsidRDefault="005D716C" w:rsidP="00815AEE">
      <w:pPr>
        <w:spacing w:line="360" w:lineRule="auto"/>
        <w:jc w:val="both"/>
        <w:rPr>
          <w:rFonts w:ascii="Times" w:eastAsiaTheme="minorEastAsia" w:hAnsi="Times"/>
          <w:lang w:val="en-GB"/>
        </w:rPr>
      </w:p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C</m:t>
                </m:r>
              </m:e>
            </m:acc>
          </m:e>
          <m:sub>
            <m:r>
              <w:rPr>
                <w:rFonts w:ascii="Cambria Math" w:hAnsi="Cambria Math"/>
                <w:lang w:val="en-GB"/>
              </w:rPr>
              <m:t>i</m:t>
            </m:r>
          </m:sub>
        </m:sSub>
      </m:oMath>
      <w:r w:rsidR="00815AEE" w:rsidRPr="00735988">
        <w:rPr>
          <w:rFonts w:ascii="Times" w:eastAsiaTheme="minorEastAsia" w:hAnsi="Times"/>
          <w:lang w:val="en-GB"/>
        </w:rPr>
        <w:t xml:space="preserve">: the mass-concentration of the </w:t>
      </w:r>
      <w:proofErr w:type="spellStart"/>
      <w:r w:rsidR="00815AEE" w:rsidRPr="00735988">
        <w:rPr>
          <w:rFonts w:ascii="Times" w:eastAsiaTheme="minorEastAsia" w:hAnsi="Times"/>
          <w:lang w:val="en-GB"/>
        </w:rPr>
        <w:t>i</w:t>
      </w:r>
      <w:r w:rsidR="00815AEE" w:rsidRPr="00735988">
        <w:rPr>
          <w:rFonts w:ascii="Times" w:eastAsiaTheme="minorEastAsia" w:hAnsi="Times"/>
          <w:vertAlign w:val="superscript"/>
          <w:lang w:val="en-GB"/>
        </w:rPr>
        <w:t>th</w:t>
      </w:r>
      <w:proofErr w:type="spellEnd"/>
      <w:r w:rsidR="00815AEE" w:rsidRPr="00735988">
        <w:rPr>
          <w:rFonts w:ascii="Times" w:eastAsiaTheme="minorEastAsia" w:hAnsi="Times"/>
          <w:lang w:val="en-GB"/>
        </w:rPr>
        <w:t xml:space="preserve"> object and </w:t>
      </w:r>
      <w:proofErr w:type="spellStart"/>
      <w:r w:rsidR="00815AEE" w:rsidRPr="00735988">
        <w:rPr>
          <w:rFonts w:ascii="Times" w:eastAsiaTheme="minorEastAsia" w:hAnsi="Times"/>
          <w:i/>
          <w:lang w:val="en-GB"/>
        </w:rPr>
        <w:t>Mi</w:t>
      </w:r>
      <w:proofErr w:type="spellEnd"/>
      <w:r w:rsidR="00815AEE" w:rsidRPr="00735988">
        <w:rPr>
          <w:rFonts w:ascii="Times" w:eastAsiaTheme="minorEastAsia" w:hAnsi="Times"/>
          <w:lang w:val="en-GB"/>
        </w:rPr>
        <w:t xml:space="preserve"> its molecular weight. </w:t>
      </w:r>
    </w:p>
    <w:p w14:paraId="16E4DB6F" w14:textId="77777777" w:rsidR="00815AEE" w:rsidRPr="00735988" w:rsidRDefault="00815AEE" w:rsidP="00815AEE">
      <w:pPr>
        <w:spacing w:line="360" w:lineRule="auto"/>
        <w:jc w:val="both"/>
        <w:outlineLvl w:val="0"/>
        <w:rPr>
          <w:rFonts w:ascii="Times" w:eastAsiaTheme="minorEastAsia" w:hAnsi="Times"/>
          <w:lang w:val="en-GB"/>
        </w:rPr>
      </w:pPr>
      <w:r w:rsidRPr="00735988">
        <w:rPr>
          <w:rFonts w:ascii="Symbol" w:eastAsiaTheme="minorEastAsia" w:hAnsi="Symbol"/>
          <w:i/>
          <w:lang w:val="en-GB"/>
        </w:rPr>
        <w:t></w:t>
      </w:r>
      <w:r w:rsidRPr="00735988">
        <w:rPr>
          <w:rFonts w:ascii="Times" w:eastAsiaTheme="minorEastAsia" w:hAnsi="Times"/>
          <w:lang w:val="en-GB"/>
        </w:rPr>
        <w:t>: the detection angle here fixed at 88°</w:t>
      </w:r>
    </w:p>
    <w:p w14:paraId="64C2F32F" w14:textId="77777777" w:rsidR="00815AEE" w:rsidRPr="00735988" w:rsidRDefault="00815AEE" w:rsidP="00815AEE">
      <w:pPr>
        <w:spacing w:line="360" w:lineRule="auto"/>
        <w:jc w:val="both"/>
        <w:outlineLvl w:val="0"/>
        <w:rPr>
          <w:rFonts w:ascii="Times" w:eastAsiaTheme="minorEastAsia" w:hAnsi="Times"/>
          <w:lang w:val="en-GB"/>
        </w:rPr>
      </w:pPr>
    </w:p>
    <w:p w14:paraId="25F84551" w14:textId="77777777" w:rsidR="00815AEE" w:rsidRPr="00735988" w:rsidRDefault="00815AEE" w:rsidP="00815AEE">
      <w:pPr>
        <w:spacing w:line="360" w:lineRule="auto"/>
        <w:jc w:val="both"/>
        <w:rPr>
          <w:rFonts w:ascii="Times" w:eastAsiaTheme="minorEastAsia" w:hAnsi="Times"/>
          <w:lang w:val="en-GB"/>
        </w:rPr>
      </w:pPr>
      <w:r w:rsidRPr="00735988">
        <w:rPr>
          <w:rFonts w:ascii="Times" w:eastAsiaTheme="minorEastAsia" w:hAnsi="Times"/>
          <w:lang w:val="en-GB"/>
        </w:rPr>
        <w:t xml:space="preserve">As </w:t>
      </w:r>
      <w:r w:rsidRPr="00735988">
        <w:rPr>
          <w:rFonts w:ascii="Symbol" w:eastAsiaTheme="minorEastAsia" w:hAnsi="Symbol"/>
          <w:lang w:val="en-GB"/>
        </w:rPr>
        <w:t></w:t>
      </w:r>
      <w:r w:rsidRPr="00735988">
        <w:rPr>
          <w:rFonts w:ascii="Times" w:eastAsiaTheme="minorEastAsia" w:hAnsi="Times"/>
          <w:lang w:val="en-GB"/>
        </w:rPr>
        <w:t xml:space="preserve"> is fixed we incorporate the term </w:t>
      </w:r>
      <m:oMath>
        <m:r>
          <w:rPr>
            <w:rFonts w:ascii="Cambria Math" w:eastAsiaTheme="minorEastAsia" w:hAnsi="Cambria Math"/>
            <w:lang w:val="en-GB"/>
          </w:rPr>
          <m:t>(1+</m:t>
        </m:r>
        <m:sSup>
          <m:sSupPr>
            <m:ctrlPr>
              <w:rPr>
                <w:rFonts w:ascii="Cambria Math" w:eastAsiaTheme="minorEastAsia" w:hAnsi="Cambria Math"/>
                <w:i/>
                <w:lang w:val="en-GB"/>
              </w:rPr>
            </m:ctrlPr>
          </m:sSupPr>
          <m:e>
            <m:r>
              <w:rPr>
                <w:rFonts w:ascii="Cambria Math" w:eastAsiaTheme="minorEastAsia" w:hAnsi="Cambria Math"/>
                <w:lang w:val="en-GB"/>
              </w:rPr>
              <m:t>cos</m:t>
            </m:r>
          </m:e>
          <m:sup>
            <m:r>
              <w:rPr>
                <w:rFonts w:ascii="Cambria Math" w:eastAsiaTheme="minorEastAsia" w:hAnsi="Cambria Math"/>
                <w:lang w:val="en-GB"/>
              </w:rPr>
              <m:t>2</m:t>
            </m:r>
          </m:sup>
        </m:sSup>
        <m:r>
          <w:rPr>
            <w:rFonts w:ascii="Cambria Math" w:eastAsiaTheme="minorEastAsia" w:hAnsi="Cambria Math"/>
            <w:lang w:val="en-GB"/>
          </w:rPr>
          <m:t>θ)</m:t>
        </m:r>
      </m:oMath>
      <w:r w:rsidRPr="00735988">
        <w:rPr>
          <w:rFonts w:ascii="Times" w:eastAsiaTheme="minorEastAsia" w:hAnsi="Times"/>
          <w:lang w:val="en-GB"/>
        </w:rPr>
        <w:t xml:space="preserve"> into Rayleigh constant. Then by assuming that the solution contains </w:t>
      </w:r>
      <w:proofErr w:type="spellStart"/>
      <w:r w:rsidRPr="00735988">
        <w:rPr>
          <w:rFonts w:ascii="Times" w:eastAsiaTheme="minorEastAsia" w:hAnsi="Times"/>
          <w:i/>
          <w:lang w:val="en-GB"/>
        </w:rPr>
        <w:t>i</w:t>
      </w:r>
      <w:proofErr w:type="spellEnd"/>
      <w:r w:rsidRPr="00735988">
        <w:rPr>
          <w:rFonts w:ascii="Times" w:eastAsiaTheme="minorEastAsia" w:hAnsi="Times"/>
          <w:lang w:val="en-GB"/>
        </w:rPr>
        <w:t xml:space="preserve"> objects with a molecular weight of </w:t>
      </w:r>
      <w:proofErr w:type="spellStart"/>
      <w:proofErr w:type="gramStart"/>
      <w:r w:rsidRPr="00735988">
        <w:rPr>
          <w:rFonts w:ascii="Times" w:eastAsiaTheme="minorEastAsia" w:hAnsi="Times"/>
          <w:i/>
          <w:lang w:val="en-GB"/>
        </w:rPr>
        <w:t>Mi</w:t>
      </w:r>
      <w:proofErr w:type="spellEnd"/>
      <w:r>
        <w:rPr>
          <w:rFonts w:ascii="Times" w:eastAsiaTheme="minorEastAsia" w:hAnsi="Times"/>
          <w:i/>
          <w:lang w:val="en-GB"/>
        </w:rPr>
        <w:t xml:space="preserve"> </w:t>
      </w:r>
      <w:r w:rsidRPr="00735988">
        <w:rPr>
          <w:rFonts w:ascii="Times" w:eastAsiaTheme="minorEastAsia" w:hAnsi="Times"/>
          <w:i/>
          <w:vertAlign w:val="subscript"/>
          <w:lang w:val="en-GB"/>
        </w:rPr>
        <w:t xml:space="preserve"> </w:t>
      </w:r>
      <w:r w:rsidRPr="00735988">
        <w:rPr>
          <w:rFonts w:ascii="Times" w:eastAsiaTheme="minorEastAsia" w:hAnsi="Times"/>
          <w:lang w:val="en-GB"/>
        </w:rPr>
        <w:t>at</w:t>
      </w:r>
      <w:proofErr w:type="gramEnd"/>
      <w:r w:rsidRPr="00735988">
        <w:rPr>
          <w:rFonts w:ascii="Times" w:eastAsiaTheme="minorEastAsia" w:hAnsi="Times"/>
          <w:lang w:val="en-GB"/>
        </w:rPr>
        <w:t xml:space="preserve"> the mass-concentration of </w:t>
      </w:r>
      <w:r w:rsidRPr="00735988">
        <w:rPr>
          <w:rFonts w:ascii="Times" w:eastAsiaTheme="minorEastAsia" w:hAnsi="Times"/>
          <w:i/>
          <w:lang w:val="en-GB"/>
        </w:rPr>
        <w:t xml:space="preserve">Ci </w:t>
      </w:r>
      <w:r w:rsidRPr="00735988">
        <w:rPr>
          <w:rFonts w:ascii="Times" w:eastAsiaTheme="minorEastAsia" w:hAnsi="Times"/>
          <w:lang w:val="en-GB"/>
        </w:rPr>
        <w:t>we can</w:t>
      </w:r>
      <w:r>
        <w:rPr>
          <w:rFonts w:ascii="Times" w:eastAsiaTheme="minorEastAsia" w:hAnsi="Times"/>
          <w:lang w:val="en-GB"/>
        </w:rPr>
        <w:t xml:space="preserve"> then</w:t>
      </w:r>
      <w:r w:rsidRPr="00735988">
        <w:rPr>
          <w:rFonts w:ascii="Times" w:eastAsiaTheme="minorEastAsia" w:hAnsi="Times"/>
          <w:lang w:val="en-GB"/>
        </w:rPr>
        <w:t xml:space="preserve"> transform the Rayleigh expression accordingly in order to estimate the weight average molecular weight (</w:t>
      </w:r>
      <w:r w:rsidRPr="00735988">
        <w:rPr>
          <w:rFonts w:ascii="Times" w:eastAsiaTheme="minorEastAsia" w:hAnsi="Times"/>
          <w:i/>
          <w:lang w:val="en-GB"/>
        </w:rPr>
        <w:t>&lt;Mw&gt;</w:t>
      </w:r>
      <w:r w:rsidRPr="00735988">
        <w:rPr>
          <w:rFonts w:ascii="Times" w:eastAsiaTheme="minorEastAsia" w:hAnsi="Times"/>
          <w:lang w:val="en-GB"/>
        </w:rPr>
        <w:t xml:space="preserve">) of object present in the solution. Indeed, we can define </w:t>
      </w:r>
      <w:r w:rsidRPr="00735988">
        <w:rPr>
          <w:rFonts w:ascii="Times" w:eastAsiaTheme="minorEastAsia" w:hAnsi="Times"/>
          <w:i/>
          <w:lang w:val="en-GB"/>
        </w:rPr>
        <w:t xml:space="preserve">&lt;Mw&gt; </w:t>
      </w:r>
      <w:r w:rsidRPr="00735988">
        <w:rPr>
          <w:rFonts w:ascii="Times" w:eastAsiaTheme="minorEastAsia" w:hAnsi="Times"/>
          <w:lang w:val="en-GB"/>
        </w:rPr>
        <w:t>as:</w:t>
      </w:r>
    </w:p>
    <w:p w14:paraId="4087F5D7" w14:textId="77777777" w:rsidR="00815AEE" w:rsidRPr="00735988" w:rsidRDefault="00815AEE" w:rsidP="00815AEE">
      <w:pPr>
        <w:spacing w:line="360" w:lineRule="auto"/>
        <w:jc w:val="both"/>
        <w:rPr>
          <w:rFonts w:ascii="Times" w:eastAsiaTheme="minorEastAsia" w:hAnsi="Times"/>
          <w:lang w:val="en-GB"/>
        </w:rPr>
      </w:pPr>
    </w:p>
    <w:p w14:paraId="3AEF0289" w14:textId="77777777" w:rsidR="00815AEE" w:rsidRPr="00735988" w:rsidRDefault="00815AEE" w:rsidP="00815AEE">
      <w:pPr>
        <w:spacing w:line="360" w:lineRule="auto"/>
        <w:jc w:val="both"/>
        <w:rPr>
          <w:rFonts w:ascii="Times" w:eastAsiaTheme="minorEastAsia" w:hAnsi="Times"/>
          <w:lang w:val="en-GB"/>
        </w:rPr>
      </w:pPr>
      <m:oMathPara>
        <m:oMath>
          <m:r>
            <w:rPr>
              <w:rFonts w:ascii="Cambria Math" w:eastAsiaTheme="minorEastAsia" w:hAnsi="Cambria Math"/>
              <w:lang w:val="en-GB"/>
            </w:rPr>
            <m:t>&lt;Mw&gt; =</m:t>
          </m:r>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i</m:t>
              </m:r>
            </m:sup>
            <m:e>
              <m:f>
                <m:fPr>
                  <m:ctrlPr>
                    <w:rPr>
                      <w:rFonts w:ascii="Cambria Math" w:eastAsiaTheme="minorEastAsia" w:hAnsi="Cambria Math"/>
                      <w:i/>
                      <w:lang w:val="en-GB"/>
                    </w:rPr>
                  </m:ctrlPr>
                </m:fPr>
                <m:num>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C</m:t>
                          </m:r>
                        </m:e>
                      </m:acc>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num>
                <m:den>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C</m:t>
                          </m:r>
                        </m:e>
                      </m:acc>
                    </m:e>
                    <m:sub>
                      <m:r>
                        <w:rPr>
                          <w:rFonts w:ascii="Cambria Math" w:hAnsi="Cambria Math"/>
                          <w:lang w:val="en-GB"/>
                        </w:rPr>
                        <m:t>i</m:t>
                      </m:r>
                    </m:sub>
                  </m:sSub>
                </m:den>
              </m:f>
            </m:e>
          </m:nary>
        </m:oMath>
      </m:oMathPara>
    </w:p>
    <w:p w14:paraId="7E411BE8" w14:textId="77777777" w:rsidR="00815AEE" w:rsidRPr="00735988" w:rsidRDefault="00815AEE" w:rsidP="00815AEE">
      <w:pPr>
        <w:spacing w:line="360" w:lineRule="auto"/>
        <w:jc w:val="both"/>
        <w:rPr>
          <w:rFonts w:ascii="Times" w:eastAsiaTheme="minorEastAsia" w:hAnsi="Times"/>
          <w:lang w:val="en-GB"/>
        </w:rPr>
      </w:pPr>
      <m:oMathPara>
        <m:oMath>
          <m:r>
            <w:rPr>
              <w:rFonts w:ascii="Cambria Math" w:eastAsiaTheme="minorEastAsia" w:hAnsi="Cambria Math"/>
              <w:lang w:val="en-GB"/>
            </w:rPr>
            <m:t xml:space="preserve"> </m:t>
          </m:r>
        </m:oMath>
      </m:oMathPara>
    </w:p>
    <w:p w14:paraId="22D880D4" w14:textId="77777777" w:rsidR="00815AEE" w:rsidRPr="00735988" w:rsidRDefault="00815AEE" w:rsidP="00815AEE">
      <w:pPr>
        <w:spacing w:line="360" w:lineRule="auto"/>
        <w:jc w:val="both"/>
        <w:rPr>
          <w:rFonts w:ascii="Times" w:eastAsiaTheme="minorEastAsia" w:hAnsi="Times"/>
          <w:lang w:val="en-GB"/>
        </w:rPr>
      </w:pPr>
      <m:oMathPara>
        <m:oMath>
          <m:r>
            <w:rPr>
              <w:rFonts w:ascii="Cambria Math" w:eastAsiaTheme="minorEastAsia" w:hAnsi="Cambria Math"/>
              <w:lang w:val="en-GB"/>
            </w:rPr>
            <m:t>&lt;Mw&gt; =</m:t>
          </m:r>
          <m:f>
            <m:fPr>
              <m:ctrlPr>
                <w:rPr>
                  <w:rFonts w:ascii="Cambria Math" w:eastAsiaTheme="minorEastAsia" w:hAnsi="Cambria Math"/>
                  <w:i/>
                  <w:lang w:val="en-GB"/>
                </w:rPr>
              </m:ctrlPr>
            </m:fPr>
            <m:num>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i</m:t>
                  </m:r>
                </m:sup>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C</m:t>
                          </m:r>
                        </m:e>
                      </m:acc>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e>
              </m:nary>
            </m:num>
            <m:den>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rPr>
                          <w:rFonts w:ascii="Cambria Math" w:eastAsiaTheme="minorEastAsia" w:hAnsi="Cambria Math"/>
                          <w:lang w:val="en-GB"/>
                        </w:rPr>
                        <m:t>C</m:t>
                      </m:r>
                    </m:e>
                  </m:acc>
                </m:e>
                <m:sub>
                  <m:r>
                    <w:rPr>
                      <w:rFonts w:ascii="Cambria Math" w:eastAsiaTheme="minorEastAsia" w:hAnsi="Cambria Math"/>
                      <w:lang w:val="en-GB"/>
                    </w:rPr>
                    <m:t>tot</m:t>
                  </m:r>
                </m:sub>
              </m:sSub>
            </m:den>
          </m:f>
        </m:oMath>
      </m:oMathPara>
    </w:p>
    <w:p w14:paraId="66D30E12" w14:textId="77777777" w:rsidR="00815AEE" w:rsidRPr="00735988" w:rsidRDefault="00815AEE" w:rsidP="00815AEE">
      <w:pPr>
        <w:spacing w:line="360" w:lineRule="auto"/>
        <w:rPr>
          <w:rFonts w:ascii="Times" w:eastAsiaTheme="minorEastAsia" w:hAnsi="Times"/>
          <w:lang w:val="en-GB"/>
        </w:rPr>
      </w:pPr>
    </w:p>
    <w:p w14:paraId="49CFA633" w14:textId="77777777" w:rsidR="00815AEE" w:rsidRPr="00735988" w:rsidRDefault="00815AEE" w:rsidP="00815AEE">
      <w:pPr>
        <w:spacing w:line="360" w:lineRule="auto"/>
        <w:rPr>
          <w:rFonts w:ascii="Times" w:eastAsiaTheme="minorEastAsia" w:hAnsi="Times"/>
          <w:lang w:val="en-GB"/>
        </w:rPr>
      </w:pPr>
      <w:r w:rsidRPr="00735988">
        <w:rPr>
          <w:rFonts w:ascii="Times" w:eastAsiaTheme="minorEastAsia" w:hAnsi="Times"/>
          <w:lang w:val="en-GB"/>
        </w:rPr>
        <w:t xml:space="preserve">By replacing </w:t>
      </w:r>
      <m:oMath>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i</m:t>
            </m:r>
          </m:sup>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C</m:t>
                    </m:r>
                  </m:e>
                </m:acc>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e>
        </m:nary>
        <m:r>
          <w:rPr>
            <w:rFonts w:ascii="Cambria Math" w:eastAsiaTheme="minorEastAsia" w:hAnsi="Cambria Math"/>
            <w:lang w:val="en-GB"/>
          </w:rPr>
          <m:t xml:space="preserve"> </m:t>
        </m:r>
      </m:oMath>
      <w:r w:rsidRPr="00735988">
        <w:rPr>
          <w:rFonts w:ascii="Times" w:eastAsiaTheme="minorEastAsia" w:hAnsi="Times"/>
          <w:lang w:val="en-GB"/>
        </w:rPr>
        <w:t xml:space="preserve"> into Rayleigh relation we have: </w:t>
      </w:r>
    </w:p>
    <w:p w14:paraId="3E27CE51" w14:textId="77777777" w:rsidR="00815AEE" w:rsidRPr="00735988" w:rsidRDefault="00815AEE" w:rsidP="00815AEE">
      <w:pPr>
        <w:spacing w:line="360" w:lineRule="auto"/>
        <w:rPr>
          <w:rFonts w:ascii="Times" w:eastAsiaTheme="minorEastAsia" w:hAnsi="Times"/>
          <w:lang w:val="en-GB"/>
        </w:rPr>
      </w:pPr>
    </w:p>
    <w:p w14:paraId="1822C076" w14:textId="77777777" w:rsidR="00815AEE" w:rsidRPr="00735988" w:rsidRDefault="005D716C" w:rsidP="00815AEE">
      <w:pPr>
        <w:spacing w:line="360" w:lineRule="auto"/>
        <w:jc w:val="center"/>
        <w:rPr>
          <w:rFonts w:eastAsiaTheme="minorEastAsia"/>
          <w:lang w:val="en-GB"/>
        </w:rPr>
      </w:pPr>
      <m:oMathPara>
        <m:oMath>
          <m:func>
            <m:funcPr>
              <m:ctrlPr>
                <w:rPr>
                  <w:rFonts w:ascii="Cambria Math" w:hAnsi="Cambria Math"/>
                  <w:i/>
                  <w:lang w:val="en-GB"/>
                </w:rPr>
              </m:ctrlPr>
            </m:funcPr>
            <m:fName>
              <m:limLow>
                <m:limLowPr>
                  <m:ctrlPr>
                    <w:rPr>
                      <w:rFonts w:ascii="Cambria Math" w:hAnsi="Cambria Math"/>
                      <w:i/>
                      <w:lang w:val="en-GB"/>
                    </w:rPr>
                  </m:ctrlPr>
                </m:limLowPr>
                <m:e>
                  <m:r>
                    <w:rPr>
                      <w:rFonts w:ascii="Cambria Math" w:hAnsi="Cambria Math"/>
                      <w:lang w:val="en-GB"/>
                    </w:rPr>
                    <m:t>Lim</m:t>
                  </m:r>
                </m:e>
                <m:lim>
                  <m:r>
                    <w:rPr>
                      <w:rFonts w:ascii="Cambria Math" w:hAnsi="Cambria Math"/>
                      <w:lang w:val="en-GB"/>
                    </w:rPr>
                    <m:t>C=0</m:t>
                  </m:r>
                </m:lim>
              </m:limLow>
            </m:fName>
            <m:e>
              <m:r>
                <w:rPr>
                  <w:rFonts w:ascii="Cambria Math" w:hAnsi="Cambria Math"/>
                  <w:lang w:val="en-GB"/>
                </w:rPr>
                <m:t>I</m:t>
              </m:r>
              <m:r>
                <m:rPr>
                  <m:scr m:val="script"/>
                </m:rPr>
                <w:rPr>
                  <w:rFonts w:ascii="Cambria Math" w:hAnsi="Cambria Math"/>
                  <w:lang w:val="en-GB"/>
                </w:rPr>
                <m:t>=R.</m:t>
              </m:r>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rPr>
                          <w:rFonts w:ascii="Cambria Math" w:eastAsiaTheme="minorEastAsia" w:hAnsi="Cambria Math"/>
                          <w:lang w:val="en-GB"/>
                        </w:rPr>
                        <m:t>C</m:t>
                      </m:r>
                    </m:e>
                  </m:acc>
                </m:e>
                <m:sub>
                  <m:r>
                    <w:rPr>
                      <w:rFonts w:ascii="Cambria Math" w:eastAsiaTheme="minorEastAsia" w:hAnsi="Cambria Math"/>
                      <w:lang w:val="en-GB"/>
                    </w:rPr>
                    <m:t>tot</m:t>
                  </m:r>
                </m:sub>
              </m:sSub>
              <m:r>
                <w:rPr>
                  <w:rFonts w:ascii="Cambria Math" w:eastAsiaTheme="minorEastAsia" w:hAnsi="Cambria Math"/>
                  <w:lang w:val="en-GB"/>
                </w:rPr>
                <m:t>.&lt;Mw&gt;</m:t>
              </m:r>
            </m:e>
          </m:func>
        </m:oMath>
      </m:oMathPara>
    </w:p>
    <w:p w14:paraId="083E29D7" w14:textId="77777777" w:rsidR="00815AEE" w:rsidRPr="00735988" w:rsidRDefault="00815AEE" w:rsidP="00815AEE">
      <w:pPr>
        <w:spacing w:line="360" w:lineRule="auto"/>
        <w:rPr>
          <w:rFonts w:ascii="Times" w:eastAsiaTheme="minorEastAsia" w:hAnsi="Times"/>
          <w:lang w:val="en-GB"/>
        </w:rPr>
      </w:pPr>
    </w:p>
    <w:p w14:paraId="53D7CEB5" w14:textId="77777777" w:rsidR="00815AEE" w:rsidRPr="00735988" w:rsidRDefault="00815AEE" w:rsidP="00815AEE">
      <w:pPr>
        <w:spacing w:line="360" w:lineRule="auto"/>
        <w:jc w:val="both"/>
        <w:rPr>
          <w:rFonts w:ascii="Times" w:eastAsiaTheme="minorEastAsia" w:hAnsi="Times"/>
          <w:lang w:val="en-GB"/>
        </w:rPr>
      </w:pPr>
      <w:r w:rsidRPr="00735988">
        <w:rPr>
          <w:rFonts w:ascii="Times" w:eastAsiaTheme="minorEastAsia" w:hAnsi="Times"/>
          <w:lang w:val="en-GB"/>
        </w:rPr>
        <w:t>we can go further and express the light scattering intensity as a function of molar concentration and weight average of size of the object (i.e. number “</w:t>
      </w:r>
      <w:r w:rsidRPr="00735988">
        <w:rPr>
          <w:rFonts w:ascii="Times" w:eastAsiaTheme="minorEastAsia" w:hAnsi="Times"/>
          <w:i/>
          <w:lang w:val="en-GB"/>
        </w:rPr>
        <w:t>N</w:t>
      </w:r>
      <w:r w:rsidRPr="00735988">
        <w:rPr>
          <w:rFonts w:ascii="Times" w:eastAsiaTheme="minorEastAsia" w:hAnsi="Times"/>
          <w:lang w:val="en-GB"/>
        </w:rPr>
        <w:t>” of monomer repetition) (</w:t>
      </w:r>
      <w:r w:rsidRPr="00735988">
        <w:rPr>
          <w:rFonts w:ascii="Times" w:eastAsiaTheme="minorEastAsia" w:hAnsi="Times"/>
          <w:i/>
          <w:lang w:val="en-GB"/>
        </w:rPr>
        <w:t>&lt;N&gt;</w:t>
      </w:r>
      <w:r w:rsidRPr="00735988">
        <w:rPr>
          <w:rFonts w:ascii="Times" w:eastAsiaTheme="minorEastAsia" w:hAnsi="Times"/>
          <w:lang w:val="en-GB"/>
        </w:rPr>
        <w:t xml:space="preserve">): </w:t>
      </w:r>
    </w:p>
    <w:p w14:paraId="1921D909" w14:textId="77777777" w:rsidR="00815AEE" w:rsidRPr="00735988" w:rsidRDefault="00815AEE" w:rsidP="00815AEE">
      <w:pPr>
        <w:spacing w:line="360" w:lineRule="auto"/>
        <w:rPr>
          <w:rFonts w:ascii="Times" w:eastAsiaTheme="minorEastAsia" w:hAnsi="Times"/>
          <w:lang w:val="en-GB"/>
        </w:rPr>
      </w:pPr>
    </w:p>
    <w:p w14:paraId="428FFB98" w14:textId="77777777" w:rsidR="00815AEE" w:rsidRPr="00735988" w:rsidRDefault="005D716C" w:rsidP="00815AEE">
      <w:pPr>
        <w:spacing w:line="360" w:lineRule="auto"/>
        <w:jc w:val="center"/>
        <w:rPr>
          <w:rFonts w:eastAsiaTheme="minorEastAsia"/>
          <w:lang w:val="en-GB"/>
        </w:rPr>
      </w:pPr>
      <m:oMathPara>
        <m:oMath>
          <m:func>
            <m:funcPr>
              <m:ctrlPr>
                <w:rPr>
                  <w:rFonts w:ascii="Cambria Math" w:hAnsi="Cambria Math"/>
                  <w:i/>
                  <w:lang w:val="en-GB"/>
                </w:rPr>
              </m:ctrlPr>
            </m:funcPr>
            <m:fName>
              <m:limLow>
                <m:limLowPr>
                  <m:ctrlPr>
                    <w:rPr>
                      <w:rFonts w:ascii="Cambria Math" w:hAnsi="Cambria Math"/>
                      <w:i/>
                      <w:lang w:val="en-GB"/>
                    </w:rPr>
                  </m:ctrlPr>
                </m:limLowPr>
                <m:e>
                  <m:r>
                    <w:rPr>
                      <w:rFonts w:ascii="Cambria Math" w:hAnsi="Cambria Math"/>
                      <w:lang w:val="en-GB"/>
                    </w:rPr>
                    <m:t>Lim</m:t>
                  </m:r>
                </m:e>
                <m:lim>
                  <m:r>
                    <w:rPr>
                      <w:rFonts w:ascii="Cambria Math" w:hAnsi="Cambria Math"/>
                      <w:lang w:val="en-GB"/>
                    </w:rPr>
                    <m:t>C=0</m:t>
                  </m:r>
                </m:lim>
              </m:limLow>
            </m:fName>
            <m:e>
              <m:r>
                <w:rPr>
                  <w:rFonts w:ascii="Cambria Math" w:hAnsi="Cambria Math"/>
                  <w:lang w:val="en-GB"/>
                </w:rPr>
                <m:t>I</m:t>
              </m:r>
              <m:r>
                <m:rPr>
                  <m:scr m:val="script"/>
                </m:rPr>
                <w:rPr>
                  <w:rFonts w:ascii="Cambria Math" w:hAnsi="Cambria Math"/>
                  <w:lang w:val="en-GB"/>
                </w:rPr>
                <m:t>=R.</m:t>
              </m:r>
              <m:sSub>
                <m:sSubPr>
                  <m:ctrlPr>
                    <w:rPr>
                      <w:rFonts w:ascii="Cambria Math" w:eastAsiaTheme="minorEastAsia" w:hAnsi="Cambria Math"/>
                      <w:i/>
                      <w:lang w:val="en-GB"/>
                    </w:rPr>
                  </m:ctrlPr>
                </m:sSubPr>
                <m:e>
                  <m:r>
                    <w:rPr>
                      <w:rFonts w:ascii="Cambria Math" w:eastAsiaTheme="minorEastAsia" w:hAnsi="Cambria Math"/>
                      <w:lang w:val="en-GB"/>
                    </w:rPr>
                    <m:t>C</m:t>
                  </m:r>
                </m:e>
                <m:sub>
                  <m:r>
                    <w:rPr>
                      <w:rFonts w:ascii="Cambria Math" w:eastAsiaTheme="minorEastAsia" w:hAnsi="Cambria Math"/>
                      <w:lang w:val="en-GB"/>
                    </w:rPr>
                    <m:t>tot</m:t>
                  </m:r>
                </m:sub>
              </m:sSub>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&lt;Mw&gt;</m:t>
                  </m:r>
                </m:e>
                <m:sup>
                  <m:r>
                    <w:rPr>
                      <w:rFonts w:ascii="Cambria Math" w:eastAsiaTheme="minorEastAsia" w:hAnsi="Cambria Math"/>
                      <w:lang w:val="en-GB"/>
                    </w:rPr>
                    <m:t>2</m:t>
                  </m:r>
                </m:sup>
              </m:sSup>
            </m:e>
          </m:func>
        </m:oMath>
      </m:oMathPara>
    </w:p>
    <w:p w14:paraId="28B3E171" w14:textId="77777777" w:rsidR="00815AEE" w:rsidRPr="00735988" w:rsidRDefault="005D716C" w:rsidP="00815AEE">
      <w:pPr>
        <w:spacing w:line="360" w:lineRule="auto"/>
        <w:jc w:val="center"/>
        <w:rPr>
          <w:rFonts w:eastAsiaTheme="minorEastAsia"/>
          <w:lang w:val="en-GB"/>
        </w:rPr>
      </w:pPr>
      <m:oMathPara>
        <m:oMath>
          <m:func>
            <m:funcPr>
              <m:ctrlPr>
                <w:rPr>
                  <w:rFonts w:ascii="Cambria Math" w:hAnsi="Cambria Math"/>
                  <w:i/>
                  <w:lang w:val="en-GB"/>
                </w:rPr>
              </m:ctrlPr>
            </m:funcPr>
            <m:fName>
              <m:limLow>
                <m:limLowPr>
                  <m:ctrlPr>
                    <w:rPr>
                      <w:rFonts w:ascii="Cambria Math" w:hAnsi="Cambria Math"/>
                      <w:i/>
                      <w:lang w:val="en-GB"/>
                    </w:rPr>
                  </m:ctrlPr>
                </m:limLowPr>
                <m:e>
                  <m:r>
                    <w:rPr>
                      <w:rFonts w:ascii="Cambria Math" w:hAnsi="Cambria Math"/>
                      <w:lang w:val="en-GB"/>
                    </w:rPr>
                    <m:t>Lim</m:t>
                  </m:r>
                </m:e>
                <m:lim>
                  <m:r>
                    <w:rPr>
                      <w:rFonts w:ascii="Cambria Math" w:hAnsi="Cambria Math"/>
                      <w:lang w:val="en-GB"/>
                    </w:rPr>
                    <m:t>C=0</m:t>
                  </m:r>
                </m:lim>
              </m:limLow>
            </m:fName>
            <m:e>
              <m:r>
                <w:rPr>
                  <w:rFonts w:ascii="Cambria Math" w:hAnsi="Cambria Math"/>
                  <w:lang w:val="en-GB"/>
                </w:rPr>
                <m:t>I</m:t>
              </m:r>
              <m:r>
                <m:rPr>
                  <m:scr m:val="script"/>
                </m:rPr>
                <w:rPr>
                  <w:rFonts w:ascii="Cambria Math" w:hAnsi="Cambria Math"/>
                  <w:lang w:val="en-GB"/>
                </w:rPr>
                <m:t>=R.</m:t>
              </m:r>
              <m:r>
                <w:rPr>
                  <w:rFonts w:ascii="Cambria Math" w:eastAsiaTheme="minorEastAsia" w:hAnsi="Cambria Math"/>
                  <w:lang w:val="en-GB"/>
                </w:rPr>
                <m:t>C.</m:t>
              </m:r>
              <m:sSup>
                <m:sSupPr>
                  <m:ctrlPr>
                    <w:rPr>
                      <w:rFonts w:ascii="Cambria Math" w:eastAsiaTheme="minorEastAsia" w:hAnsi="Cambria Math"/>
                      <w:i/>
                      <w:lang w:val="en-GB"/>
                    </w:rPr>
                  </m:ctrlPr>
                </m:sSupPr>
                <m:e>
                  <m:r>
                    <w:rPr>
                      <w:rFonts w:ascii="Cambria Math" w:eastAsiaTheme="minorEastAsia" w:hAnsi="Cambria Math"/>
                      <w:lang w:val="en-GB"/>
                    </w:rPr>
                    <m:t>M</m:t>
                  </m:r>
                </m:e>
                <m:sup>
                  <m:r>
                    <w:rPr>
                      <w:rFonts w:ascii="Cambria Math" w:eastAsiaTheme="minorEastAsia" w:hAnsi="Cambria Math"/>
                      <w:lang w:val="en-GB"/>
                    </w:rPr>
                    <m:t>2</m:t>
                  </m:r>
                </m:sup>
              </m:sSup>
              <m:r>
                <w:rPr>
                  <w:rFonts w:ascii="Cambria Math" w:eastAsiaTheme="minorEastAsia" w:hAnsi="Cambria Math"/>
                  <w:lang w:val="en-GB"/>
                </w:rPr>
                <m:t>.&lt;N&gt;</m:t>
              </m:r>
            </m:e>
          </m:func>
        </m:oMath>
      </m:oMathPara>
    </w:p>
    <w:p w14:paraId="603FA6A2" w14:textId="4F75B43F" w:rsidR="00717798" w:rsidRDefault="00815AEE" w:rsidP="00815AEE">
      <w:pPr>
        <w:spacing w:line="360" w:lineRule="auto"/>
        <w:jc w:val="both"/>
        <w:rPr>
          <w:rFonts w:ascii="Times" w:eastAsiaTheme="minorEastAsia" w:hAnsi="Times"/>
          <w:lang w:val="en-GB"/>
        </w:rPr>
      </w:pPr>
      <w:r w:rsidRPr="00735988">
        <w:rPr>
          <w:rFonts w:ascii="Times" w:eastAsiaTheme="minorEastAsia" w:hAnsi="Times"/>
          <w:lang w:val="en-GB"/>
        </w:rPr>
        <w:t xml:space="preserve">Where C is the concentration equivalent to monomer; M the molecular weight of the monomer and </w:t>
      </w:r>
      <w:r w:rsidRPr="00735988">
        <w:rPr>
          <w:rFonts w:ascii="Times" w:eastAsiaTheme="minorEastAsia" w:hAnsi="Times"/>
          <w:i/>
          <w:lang w:val="en-GB"/>
        </w:rPr>
        <w:t>&lt;N&gt;,</w:t>
      </w:r>
      <w:r w:rsidRPr="00735988">
        <w:rPr>
          <w:rFonts w:ascii="Times" w:eastAsiaTheme="minorEastAsia" w:hAnsi="Times"/>
          <w:lang w:val="en-GB"/>
        </w:rPr>
        <w:t xml:space="preserve"> weight average of the size.</w:t>
      </w:r>
    </w:p>
    <w:p w14:paraId="7190A55B" w14:textId="77777777" w:rsidR="00A27F16" w:rsidRDefault="00A27F16" w:rsidP="00815AEE">
      <w:pPr>
        <w:spacing w:line="360" w:lineRule="auto"/>
        <w:jc w:val="both"/>
        <w:rPr>
          <w:rFonts w:ascii="Times" w:eastAsiaTheme="minorEastAsia" w:hAnsi="Times"/>
          <w:lang w:val="en-GB"/>
        </w:rPr>
      </w:pPr>
    </w:p>
    <w:p w14:paraId="051FE644" w14:textId="793C0F12" w:rsidR="00924767" w:rsidRPr="00E841DD" w:rsidRDefault="00A27F16" w:rsidP="00815AEE">
      <w:pPr>
        <w:spacing w:line="360" w:lineRule="auto"/>
        <w:jc w:val="both"/>
        <w:rPr>
          <w:rFonts w:ascii="Times" w:eastAsiaTheme="minorEastAsia" w:hAnsi="Times"/>
          <w:lang w:val="en-GB"/>
        </w:rPr>
      </w:pPr>
      <w:r w:rsidRPr="00E841DD">
        <w:rPr>
          <w:rFonts w:ascii="Times" w:eastAsiaTheme="minorEastAsia" w:hAnsi="Times"/>
          <w:lang w:val="en-GB"/>
        </w:rPr>
        <w:t>To determine the contribution of material adsorption</w:t>
      </w:r>
      <w:r w:rsidR="0041013E" w:rsidRPr="00E841DD">
        <w:rPr>
          <w:rFonts w:ascii="Times" w:eastAsiaTheme="minorEastAsia" w:hAnsi="Times"/>
          <w:lang w:val="en-GB"/>
        </w:rPr>
        <w:t xml:space="preserve"> </w:t>
      </w:r>
      <w:r w:rsidR="00DE6339" w:rsidRPr="00E841DD">
        <w:rPr>
          <w:rFonts w:ascii="Times" w:eastAsiaTheme="minorEastAsia" w:hAnsi="Times"/>
          <w:lang w:val="en-GB"/>
        </w:rPr>
        <w:t xml:space="preserve">on </w:t>
      </w:r>
      <w:r w:rsidRPr="00E841DD">
        <w:rPr>
          <w:rFonts w:ascii="Times" w:eastAsiaTheme="minorEastAsia" w:hAnsi="Times"/>
          <w:lang w:val="en-GB"/>
        </w:rPr>
        <w:t>light scattering signal</w:t>
      </w:r>
      <w:r w:rsidR="00DE6339" w:rsidRPr="00E841DD">
        <w:rPr>
          <w:rFonts w:ascii="Times" w:eastAsiaTheme="minorEastAsia" w:hAnsi="Times"/>
          <w:lang w:val="en-GB"/>
        </w:rPr>
        <w:t xml:space="preserve"> decrease,</w:t>
      </w:r>
      <w:r w:rsidRPr="00E841DD">
        <w:rPr>
          <w:rFonts w:ascii="Times" w:eastAsiaTheme="minorEastAsia" w:hAnsi="Times"/>
          <w:lang w:val="en-GB"/>
        </w:rPr>
        <w:t xml:space="preserve"> </w:t>
      </w:r>
      <w:r w:rsidR="0041013E" w:rsidRPr="00E841DD">
        <w:rPr>
          <w:rFonts w:ascii="Times" w:eastAsiaTheme="minorEastAsia" w:hAnsi="Times"/>
          <w:lang w:val="en-GB"/>
        </w:rPr>
        <w:t>sample at t0 (immediately after</w:t>
      </w:r>
      <w:r w:rsidR="00DE6339" w:rsidRPr="00E841DD">
        <w:rPr>
          <w:rFonts w:ascii="Times" w:eastAsiaTheme="minorEastAsia" w:hAnsi="Times"/>
          <w:lang w:val="en-GB"/>
        </w:rPr>
        <w:t xml:space="preserve"> dilution) and at final time (t1 = 8 hours</w:t>
      </w:r>
      <w:r w:rsidR="0041013E" w:rsidRPr="00E841DD">
        <w:rPr>
          <w:rFonts w:ascii="Times" w:eastAsiaTheme="minorEastAsia" w:hAnsi="Times"/>
          <w:lang w:val="en-GB"/>
        </w:rPr>
        <w:t>) have been collected and analysed by western</w:t>
      </w:r>
      <w:r w:rsidR="00EF01B2" w:rsidRPr="00E841DD">
        <w:rPr>
          <w:rFonts w:ascii="Times" w:eastAsiaTheme="minorEastAsia" w:hAnsi="Times"/>
          <w:lang w:val="en-GB"/>
        </w:rPr>
        <w:t xml:space="preserve"> </w:t>
      </w:r>
      <w:r w:rsidR="0041013E" w:rsidRPr="00E841DD">
        <w:rPr>
          <w:rFonts w:ascii="Times" w:eastAsiaTheme="minorEastAsia" w:hAnsi="Times"/>
          <w:lang w:val="en-GB"/>
        </w:rPr>
        <w:t>blot</w:t>
      </w:r>
      <w:r w:rsidR="00DE6339" w:rsidRPr="00E841DD">
        <w:rPr>
          <w:rFonts w:ascii="Times" w:eastAsiaTheme="minorEastAsia" w:hAnsi="Times"/>
          <w:lang w:val="en-GB"/>
        </w:rPr>
        <w:t xml:space="preserve">. </w:t>
      </w:r>
      <w:r w:rsidR="0041013E" w:rsidRPr="00E841DD">
        <w:rPr>
          <w:rFonts w:ascii="Times" w:eastAsiaTheme="minorEastAsia" w:hAnsi="Times"/>
          <w:lang w:val="en-GB"/>
        </w:rPr>
        <w:t xml:space="preserve">As shown in </w:t>
      </w:r>
      <w:r w:rsidR="005D716C">
        <w:rPr>
          <w:rFonts w:ascii="Times" w:eastAsiaTheme="minorEastAsia" w:hAnsi="Times"/>
          <w:lang w:val="en-GB"/>
        </w:rPr>
        <w:t>(</w:t>
      </w:r>
      <w:r w:rsidR="005D716C" w:rsidRPr="005D716C">
        <w:rPr>
          <w:rFonts w:ascii="Times" w:eastAsiaTheme="minorEastAsia" w:hAnsi="Times"/>
          <w:b/>
          <w:lang w:val="en-GB"/>
        </w:rPr>
        <w:t>C</w:t>
      </w:r>
      <w:r w:rsidR="005D716C">
        <w:rPr>
          <w:rFonts w:ascii="Times" w:eastAsiaTheme="minorEastAsia" w:hAnsi="Times"/>
          <w:lang w:val="en-GB"/>
        </w:rPr>
        <w:t>)</w:t>
      </w:r>
      <w:r w:rsidR="0041013E" w:rsidRPr="00E841DD">
        <w:rPr>
          <w:rFonts w:ascii="Times" w:eastAsiaTheme="minorEastAsia" w:hAnsi="Times"/>
          <w:lang w:val="en-GB"/>
        </w:rPr>
        <w:t xml:space="preserve">, the amount of circulating PrP remains quasi constant </w:t>
      </w:r>
      <w:r w:rsidR="008669D0" w:rsidRPr="00E841DD">
        <w:rPr>
          <w:rFonts w:ascii="Times" w:eastAsiaTheme="minorEastAsia" w:hAnsi="Times"/>
          <w:lang w:val="en-GB"/>
        </w:rPr>
        <w:t xml:space="preserve">as jugged when either </w:t>
      </w:r>
      <w:r w:rsidR="00A3225F" w:rsidRPr="00E841DD">
        <w:rPr>
          <w:rFonts w:ascii="Times" w:eastAsiaTheme="minorEastAsia" w:hAnsi="Times"/>
          <w:lang w:val="en-GB"/>
        </w:rPr>
        <w:t>12</w:t>
      </w:r>
      <w:r w:rsidRPr="00E841DD">
        <w:rPr>
          <w:rFonts w:ascii="Symbol" w:eastAsiaTheme="minorEastAsia" w:hAnsi="Symbol"/>
          <w:lang w:val="en-GB"/>
        </w:rPr>
        <w:t></w:t>
      </w:r>
      <w:r w:rsidRPr="00E841DD">
        <w:rPr>
          <w:rFonts w:ascii="Times" w:eastAsiaTheme="minorEastAsia" w:hAnsi="Times"/>
          <w:lang w:val="en-GB"/>
        </w:rPr>
        <w:t>l</w:t>
      </w:r>
      <w:r w:rsidR="008669D0" w:rsidRPr="00E841DD">
        <w:rPr>
          <w:rFonts w:ascii="Times" w:eastAsiaTheme="minorEastAsia" w:hAnsi="Times"/>
          <w:lang w:val="en-GB"/>
        </w:rPr>
        <w:t xml:space="preserve"> or 8</w:t>
      </w:r>
      <w:r w:rsidR="008669D0" w:rsidRPr="00E841DD">
        <w:rPr>
          <w:rFonts w:ascii="Symbol" w:eastAsiaTheme="minorEastAsia" w:hAnsi="Symbol"/>
          <w:lang w:val="en-GB"/>
        </w:rPr>
        <w:t></w:t>
      </w:r>
      <w:r w:rsidR="008669D0" w:rsidRPr="00E841DD">
        <w:rPr>
          <w:rFonts w:ascii="Symbol" w:eastAsiaTheme="minorEastAsia" w:hAnsi="Symbol"/>
          <w:lang w:val="en-GB"/>
        </w:rPr>
        <w:t></w:t>
      </w:r>
      <w:r w:rsidR="008669D0" w:rsidRPr="00E841DD">
        <w:rPr>
          <w:rFonts w:ascii="Times" w:eastAsiaTheme="minorEastAsia" w:hAnsi="Times"/>
          <w:lang w:val="en-GB"/>
        </w:rPr>
        <w:t>l</w:t>
      </w:r>
      <w:r w:rsidRPr="00E841DD">
        <w:rPr>
          <w:rFonts w:ascii="Times" w:eastAsiaTheme="minorEastAsia" w:hAnsi="Times"/>
          <w:lang w:val="en-GB"/>
        </w:rPr>
        <w:t xml:space="preserve"> </w:t>
      </w:r>
      <w:r w:rsidR="00DE6339" w:rsidRPr="00E841DD">
        <w:rPr>
          <w:rFonts w:ascii="Times" w:eastAsiaTheme="minorEastAsia" w:hAnsi="Times"/>
          <w:lang w:val="en-GB"/>
        </w:rPr>
        <w:t>has</w:t>
      </w:r>
      <w:r w:rsidR="008669D0" w:rsidRPr="00E841DD">
        <w:rPr>
          <w:rFonts w:ascii="Times" w:eastAsiaTheme="minorEastAsia" w:hAnsi="Times"/>
          <w:lang w:val="en-GB"/>
        </w:rPr>
        <w:t xml:space="preserve"> been deposit on SDS PAGE</w:t>
      </w:r>
      <w:r w:rsidR="00DE6339" w:rsidRPr="00E841DD">
        <w:rPr>
          <w:rFonts w:ascii="Times" w:eastAsiaTheme="minorEastAsia" w:hAnsi="Times"/>
          <w:lang w:val="en-GB"/>
        </w:rPr>
        <w:t xml:space="preserve"> followed by western blot</w:t>
      </w:r>
      <w:r w:rsidR="008669D0" w:rsidRPr="00E841DD">
        <w:rPr>
          <w:rFonts w:ascii="Times" w:eastAsiaTheme="minorEastAsia" w:hAnsi="Times"/>
          <w:lang w:val="en-GB"/>
        </w:rPr>
        <w:t>.</w:t>
      </w:r>
      <w:r w:rsidR="00EF01B2" w:rsidRPr="00E841DD">
        <w:rPr>
          <w:rFonts w:ascii="Times" w:eastAsiaTheme="minorEastAsia" w:hAnsi="Times"/>
          <w:lang w:val="en-GB"/>
        </w:rPr>
        <w:t xml:space="preserve"> </w:t>
      </w:r>
    </w:p>
    <w:p w14:paraId="33D164C5" w14:textId="73D49705" w:rsidR="00924767" w:rsidRPr="00E841DD" w:rsidRDefault="008C5351" w:rsidP="00815AEE">
      <w:pPr>
        <w:spacing w:line="360" w:lineRule="auto"/>
        <w:jc w:val="both"/>
        <w:rPr>
          <w:rFonts w:ascii="Times" w:eastAsiaTheme="minorEastAsia" w:hAnsi="Times"/>
          <w:lang w:val="en-GB"/>
        </w:rPr>
      </w:pPr>
      <w:r w:rsidRPr="00E841DD">
        <w:rPr>
          <w:rFonts w:ascii="Times" w:eastAsiaTheme="minorEastAsia" w:hAnsi="Times"/>
          <w:lang w:val="en-GB"/>
        </w:rPr>
        <w:t>In (</w:t>
      </w:r>
      <w:r w:rsidRPr="005D716C">
        <w:rPr>
          <w:rFonts w:ascii="Times" w:eastAsiaTheme="minorEastAsia" w:hAnsi="Times"/>
          <w:b/>
          <w:lang w:val="en-GB"/>
        </w:rPr>
        <w:t>D</w:t>
      </w:r>
      <w:r w:rsidRPr="00E841DD">
        <w:rPr>
          <w:rFonts w:ascii="Times" w:eastAsiaTheme="minorEastAsia" w:hAnsi="Times"/>
          <w:lang w:val="en-GB"/>
        </w:rPr>
        <w:t xml:space="preserve">) the templating activity of PrPSc assemblies has been tested by PMCA immediately after dilution (263K 20nM t0) and after almost 8 hours (263K 20nM t1). 263K BH corresponds to brain homogenate of hamster infected by 263K prion strain and used as positive control. </w:t>
      </w:r>
      <w:r w:rsidR="004E548D" w:rsidRPr="00E841DD">
        <w:rPr>
          <w:rFonts w:ascii="Times" w:eastAsiaTheme="minorEastAsia" w:hAnsi="Times"/>
          <w:lang w:val="en-GB"/>
        </w:rPr>
        <w:t>The western blot has been performed as was described in the manuscript materials and methods using biotinylated Sha31 (Sha31b) antibody.</w:t>
      </w:r>
      <w:bookmarkStart w:id="0" w:name="_GoBack"/>
      <w:bookmarkEnd w:id="0"/>
    </w:p>
    <w:sectPr w:rsidR="00924767" w:rsidRPr="00E841DD" w:rsidSect="00774C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EE"/>
    <w:rsid w:val="00000B01"/>
    <w:rsid w:val="000048D3"/>
    <w:rsid w:val="00011C48"/>
    <w:rsid w:val="00014EE1"/>
    <w:rsid w:val="00031743"/>
    <w:rsid w:val="00047B2D"/>
    <w:rsid w:val="00050E7C"/>
    <w:rsid w:val="0005539D"/>
    <w:rsid w:val="000577FD"/>
    <w:rsid w:val="00057D4E"/>
    <w:rsid w:val="00066690"/>
    <w:rsid w:val="00071D9E"/>
    <w:rsid w:val="000742DC"/>
    <w:rsid w:val="00076C5E"/>
    <w:rsid w:val="0008333E"/>
    <w:rsid w:val="00085F4A"/>
    <w:rsid w:val="00091FF3"/>
    <w:rsid w:val="00093DF4"/>
    <w:rsid w:val="000A0B99"/>
    <w:rsid w:val="000A2835"/>
    <w:rsid w:val="000A34CD"/>
    <w:rsid w:val="000A3E18"/>
    <w:rsid w:val="000A51D7"/>
    <w:rsid w:val="000B0804"/>
    <w:rsid w:val="000B2927"/>
    <w:rsid w:val="000D0845"/>
    <w:rsid w:val="000E2A22"/>
    <w:rsid w:val="000E67AD"/>
    <w:rsid w:val="000E79D7"/>
    <w:rsid w:val="0010103B"/>
    <w:rsid w:val="001012CD"/>
    <w:rsid w:val="00106A78"/>
    <w:rsid w:val="00112A11"/>
    <w:rsid w:val="001133CA"/>
    <w:rsid w:val="00114DDE"/>
    <w:rsid w:val="0011532A"/>
    <w:rsid w:val="00115FDE"/>
    <w:rsid w:val="0012313E"/>
    <w:rsid w:val="00133CC2"/>
    <w:rsid w:val="00146CA0"/>
    <w:rsid w:val="001606A7"/>
    <w:rsid w:val="00160A84"/>
    <w:rsid w:val="00166C0C"/>
    <w:rsid w:val="00167779"/>
    <w:rsid w:val="001811C2"/>
    <w:rsid w:val="00193C44"/>
    <w:rsid w:val="00197EAC"/>
    <w:rsid w:val="001A60D1"/>
    <w:rsid w:val="001B0110"/>
    <w:rsid w:val="001B096F"/>
    <w:rsid w:val="001B1EA9"/>
    <w:rsid w:val="001B787C"/>
    <w:rsid w:val="001D2E54"/>
    <w:rsid w:val="001E0ECA"/>
    <w:rsid w:val="001E1C0A"/>
    <w:rsid w:val="001E571E"/>
    <w:rsid w:val="0024570B"/>
    <w:rsid w:val="002513DB"/>
    <w:rsid w:val="00255C82"/>
    <w:rsid w:val="00260E54"/>
    <w:rsid w:val="0026416F"/>
    <w:rsid w:val="00265711"/>
    <w:rsid w:val="002713F3"/>
    <w:rsid w:val="0028465A"/>
    <w:rsid w:val="00286895"/>
    <w:rsid w:val="002908EA"/>
    <w:rsid w:val="002A167B"/>
    <w:rsid w:val="002C0379"/>
    <w:rsid w:val="002C3ECB"/>
    <w:rsid w:val="002D2E1D"/>
    <w:rsid w:val="002D74E9"/>
    <w:rsid w:val="002D7ABA"/>
    <w:rsid w:val="002E1A88"/>
    <w:rsid w:val="002E4BD7"/>
    <w:rsid w:val="002F31A4"/>
    <w:rsid w:val="002F37C3"/>
    <w:rsid w:val="002F7729"/>
    <w:rsid w:val="003012ED"/>
    <w:rsid w:val="003060E2"/>
    <w:rsid w:val="00316C4C"/>
    <w:rsid w:val="00320D87"/>
    <w:rsid w:val="003378DB"/>
    <w:rsid w:val="003507B9"/>
    <w:rsid w:val="00360AEB"/>
    <w:rsid w:val="00381169"/>
    <w:rsid w:val="00381409"/>
    <w:rsid w:val="00384CC8"/>
    <w:rsid w:val="00386B81"/>
    <w:rsid w:val="003962DA"/>
    <w:rsid w:val="003A6040"/>
    <w:rsid w:val="003C1026"/>
    <w:rsid w:val="003C109D"/>
    <w:rsid w:val="003C2537"/>
    <w:rsid w:val="003D0410"/>
    <w:rsid w:val="003D338D"/>
    <w:rsid w:val="003D73B4"/>
    <w:rsid w:val="003E61CD"/>
    <w:rsid w:val="003F0BB1"/>
    <w:rsid w:val="003F0D7D"/>
    <w:rsid w:val="003F20CD"/>
    <w:rsid w:val="003F22E5"/>
    <w:rsid w:val="004019C5"/>
    <w:rsid w:val="0040656E"/>
    <w:rsid w:val="0041013E"/>
    <w:rsid w:val="00414E48"/>
    <w:rsid w:val="0041625D"/>
    <w:rsid w:val="00417E44"/>
    <w:rsid w:val="00422A94"/>
    <w:rsid w:val="00433D53"/>
    <w:rsid w:val="00436CD3"/>
    <w:rsid w:val="004406EB"/>
    <w:rsid w:val="0045505E"/>
    <w:rsid w:val="00466B7C"/>
    <w:rsid w:val="00466D23"/>
    <w:rsid w:val="00473758"/>
    <w:rsid w:val="004822D3"/>
    <w:rsid w:val="00492ADB"/>
    <w:rsid w:val="00493155"/>
    <w:rsid w:val="00497B80"/>
    <w:rsid w:val="004C0613"/>
    <w:rsid w:val="004C0DF9"/>
    <w:rsid w:val="004C113B"/>
    <w:rsid w:val="004D2553"/>
    <w:rsid w:val="004D6BC9"/>
    <w:rsid w:val="004E548D"/>
    <w:rsid w:val="004E6B9E"/>
    <w:rsid w:val="004F0929"/>
    <w:rsid w:val="004F1607"/>
    <w:rsid w:val="004F2AE7"/>
    <w:rsid w:val="00501380"/>
    <w:rsid w:val="00511685"/>
    <w:rsid w:val="0051595A"/>
    <w:rsid w:val="005341E2"/>
    <w:rsid w:val="00537B2D"/>
    <w:rsid w:val="00543254"/>
    <w:rsid w:val="00546E0F"/>
    <w:rsid w:val="00552E7B"/>
    <w:rsid w:val="005574E7"/>
    <w:rsid w:val="0055772A"/>
    <w:rsid w:val="00557E40"/>
    <w:rsid w:val="005635E2"/>
    <w:rsid w:val="00565BD7"/>
    <w:rsid w:val="0056755C"/>
    <w:rsid w:val="0057482C"/>
    <w:rsid w:val="00574ECA"/>
    <w:rsid w:val="00576F4F"/>
    <w:rsid w:val="00581C1B"/>
    <w:rsid w:val="0058521B"/>
    <w:rsid w:val="00595B25"/>
    <w:rsid w:val="005A4963"/>
    <w:rsid w:val="005B2877"/>
    <w:rsid w:val="005B7290"/>
    <w:rsid w:val="005C10F4"/>
    <w:rsid w:val="005C5EEE"/>
    <w:rsid w:val="005D1109"/>
    <w:rsid w:val="005D1331"/>
    <w:rsid w:val="005D716C"/>
    <w:rsid w:val="005E676A"/>
    <w:rsid w:val="005F1927"/>
    <w:rsid w:val="005F2C67"/>
    <w:rsid w:val="00605C29"/>
    <w:rsid w:val="00607D97"/>
    <w:rsid w:val="00615695"/>
    <w:rsid w:val="006165B4"/>
    <w:rsid w:val="006176AB"/>
    <w:rsid w:val="0062486D"/>
    <w:rsid w:val="00632CE4"/>
    <w:rsid w:val="00645AAB"/>
    <w:rsid w:val="00654592"/>
    <w:rsid w:val="00662E7A"/>
    <w:rsid w:val="00670ACE"/>
    <w:rsid w:val="006713EC"/>
    <w:rsid w:val="00683F5B"/>
    <w:rsid w:val="006863FC"/>
    <w:rsid w:val="006A0457"/>
    <w:rsid w:val="006A74D6"/>
    <w:rsid w:val="006C25D4"/>
    <w:rsid w:val="006E4EAC"/>
    <w:rsid w:val="006E7948"/>
    <w:rsid w:val="006F12F8"/>
    <w:rsid w:val="006F3683"/>
    <w:rsid w:val="006F55C6"/>
    <w:rsid w:val="00712ECD"/>
    <w:rsid w:val="00714872"/>
    <w:rsid w:val="007148D9"/>
    <w:rsid w:val="0071493A"/>
    <w:rsid w:val="00717798"/>
    <w:rsid w:val="00717D44"/>
    <w:rsid w:val="00724565"/>
    <w:rsid w:val="00742A7C"/>
    <w:rsid w:val="0074768F"/>
    <w:rsid w:val="00747A17"/>
    <w:rsid w:val="00755AA6"/>
    <w:rsid w:val="007570CA"/>
    <w:rsid w:val="00757DCA"/>
    <w:rsid w:val="007718BF"/>
    <w:rsid w:val="00774CC7"/>
    <w:rsid w:val="00782AA2"/>
    <w:rsid w:val="00783C7D"/>
    <w:rsid w:val="007879D7"/>
    <w:rsid w:val="00792195"/>
    <w:rsid w:val="00795230"/>
    <w:rsid w:val="007970EA"/>
    <w:rsid w:val="007A4173"/>
    <w:rsid w:val="007B0EAA"/>
    <w:rsid w:val="007B17D0"/>
    <w:rsid w:val="007B1C54"/>
    <w:rsid w:val="007B30ED"/>
    <w:rsid w:val="007C309A"/>
    <w:rsid w:val="007C3983"/>
    <w:rsid w:val="007C470B"/>
    <w:rsid w:val="007C769A"/>
    <w:rsid w:val="007E44B0"/>
    <w:rsid w:val="007F219B"/>
    <w:rsid w:val="007F7301"/>
    <w:rsid w:val="00805216"/>
    <w:rsid w:val="00815AEE"/>
    <w:rsid w:val="00815F0F"/>
    <w:rsid w:val="0082681C"/>
    <w:rsid w:val="0083406D"/>
    <w:rsid w:val="0083771D"/>
    <w:rsid w:val="00841EE9"/>
    <w:rsid w:val="0086357B"/>
    <w:rsid w:val="008669D0"/>
    <w:rsid w:val="00866EE4"/>
    <w:rsid w:val="00867F32"/>
    <w:rsid w:val="008712EF"/>
    <w:rsid w:val="00883055"/>
    <w:rsid w:val="00884C4B"/>
    <w:rsid w:val="0088599C"/>
    <w:rsid w:val="00891575"/>
    <w:rsid w:val="008920BA"/>
    <w:rsid w:val="00897787"/>
    <w:rsid w:val="008A1B5D"/>
    <w:rsid w:val="008A58BC"/>
    <w:rsid w:val="008A5D8A"/>
    <w:rsid w:val="008B3876"/>
    <w:rsid w:val="008B5DE0"/>
    <w:rsid w:val="008C48DF"/>
    <w:rsid w:val="008C5351"/>
    <w:rsid w:val="008D33B7"/>
    <w:rsid w:val="008D6CE7"/>
    <w:rsid w:val="008D6DE6"/>
    <w:rsid w:val="008E55BE"/>
    <w:rsid w:val="008F1776"/>
    <w:rsid w:val="008F3769"/>
    <w:rsid w:val="008F516A"/>
    <w:rsid w:val="0090702F"/>
    <w:rsid w:val="0090736C"/>
    <w:rsid w:val="009074D2"/>
    <w:rsid w:val="00913AC8"/>
    <w:rsid w:val="00924767"/>
    <w:rsid w:val="00924F43"/>
    <w:rsid w:val="00934020"/>
    <w:rsid w:val="00940DB8"/>
    <w:rsid w:val="009419B5"/>
    <w:rsid w:val="00951163"/>
    <w:rsid w:val="0095223E"/>
    <w:rsid w:val="00973003"/>
    <w:rsid w:val="00973C02"/>
    <w:rsid w:val="00974AAF"/>
    <w:rsid w:val="00974CEB"/>
    <w:rsid w:val="009766E9"/>
    <w:rsid w:val="009768BF"/>
    <w:rsid w:val="00976D57"/>
    <w:rsid w:val="00977032"/>
    <w:rsid w:val="00982C10"/>
    <w:rsid w:val="00996F22"/>
    <w:rsid w:val="00997DF5"/>
    <w:rsid w:val="009B48E6"/>
    <w:rsid w:val="009B5210"/>
    <w:rsid w:val="009B636A"/>
    <w:rsid w:val="009D0876"/>
    <w:rsid w:val="009D229D"/>
    <w:rsid w:val="009E603E"/>
    <w:rsid w:val="009F08D4"/>
    <w:rsid w:val="009F7BA6"/>
    <w:rsid w:val="00A05BCA"/>
    <w:rsid w:val="00A11F3B"/>
    <w:rsid w:val="00A152D0"/>
    <w:rsid w:val="00A27F16"/>
    <w:rsid w:val="00A32223"/>
    <w:rsid w:val="00A3225F"/>
    <w:rsid w:val="00A33F8B"/>
    <w:rsid w:val="00A51464"/>
    <w:rsid w:val="00A63259"/>
    <w:rsid w:val="00A646CF"/>
    <w:rsid w:val="00A66535"/>
    <w:rsid w:val="00A671A6"/>
    <w:rsid w:val="00A71169"/>
    <w:rsid w:val="00A775B7"/>
    <w:rsid w:val="00A776C0"/>
    <w:rsid w:val="00A96D98"/>
    <w:rsid w:val="00AA0577"/>
    <w:rsid w:val="00AB1C9B"/>
    <w:rsid w:val="00AB3573"/>
    <w:rsid w:val="00AB7EC3"/>
    <w:rsid w:val="00AC0D47"/>
    <w:rsid w:val="00AC14E2"/>
    <w:rsid w:val="00AC3458"/>
    <w:rsid w:val="00AC41B4"/>
    <w:rsid w:val="00AD25A4"/>
    <w:rsid w:val="00AD290C"/>
    <w:rsid w:val="00AF2932"/>
    <w:rsid w:val="00B01D33"/>
    <w:rsid w:val="00B01EA6"/>
    <w:rsid w:val="00B03976"/>
    <w:rsid w:val="00B040C1"/>
    <w:rsid w:val="00B1676C"/>
    <w:rsid w:val="00B24F09"/>
    <w:rsid w:val="00B25526"/>
    <w:rsid w:val="00B2672D"/>
    <w:rsid w:val="00B311F9"/>
    <w:rsid w:val="00B326C4"/>
    <w:rsid w:val="00B3309B"/>
    <w:rsid w:val="00B3497F"/>
    <w:rsid w:val="00B43713"/>
    <w:rsid w:val="00B46394"/>
    <w:rsid w:val="00B54346"/>
    <w:rsid w:val="00B55EBC"/>
    <w:rsid w:val="00B672DD"/>
    <w:rsid w:val="00B708EC"/>
    <w:rsid w:val="00B76072"/>
    <w:rsid w:val="00B770A9"/>
    <w:rsid w:val="00BA1DC7"/>
    <w:rsid w:val="00BA4356"/>
    <w:rsid w:val="00BA4A25"/>
    <w:rsid w:val="00BB0460"/>
    <w:rsid w:val="00BB3828"/>
    <w:rsid w:val="00BD10DB"/>
    <w:rsid w:val="00BE3821"/>
    <w:rsid w:val="00BE51F7"/>
    <w:rsid w:val="00BF1657"/>
    <w:rsid w:val="00BF2FCA"/>
    <w:rsid w:val="00C02C51"/>
    <w:rsid w:val="00C070CB"/>
    <w:rsid w:val="00C3220A"/>
    <w:rsid w:val="00C3647E"/>
    <w:rsid w:val="00C41B89"/>
    <w:rsid w:val="00C518CF"/>
    <w:rsid w:val="00C57B23"/>
    <w:rsid w:val="00C654EF"/>
    <w:rsid w:val="00C66E96"/>
    <w:rsid w:val="00C73EB3"/>
    <w:rsid w:val="00C75205"/>
    <w:rsid w:val="00C76259"/>
    <w:rsid w:val="00C91428"/>
    <w:rsid w:val="00CA0D06"/>
    <w:rsid w:val="00CB15FF"/>
    <w:rsid w:val="00CB40B3"/>
    <w:rsid w:val="00CC0237"/>
    <w:rsid w:val="00CC3B5A"/>
    <w:rsid w:val="00CC3E45"/>
    <w:rsid w:val="00CE0A89"/>
    <w:rsid w:val="00CF1A44"/>
    <w:rsid w:val="00D015EA"/>
    <w:rsid w:val="00D03B45"/>
    <w:rsid w:val="00D06DC7"/>
    <w:rsid w:val="00D17588"/>
    <w:rsid w:val="00D23B6C"/>
    <w:rsid w:val="00D31638"/>
    <w:rsid w:val="00D32BF2"/>
    <w:rsid w:val="00D37AC7"/>
    <w:rsid w:val="00D40A60"/>
    <w:rsid w:val="00D4319A"/>
    <w:rsid w:val="00D513DC"/>
    <w:rsid w:val="00D64969"/>
    <w:rsid w:val="00D67EDB"/>
    <w:rsid w:val="00D702B4"/>
    <w:rsid w:val="00D72B75"/>
    <w:rsid w:val="00D9051C"/>
    <w:rsid w:val="00D913C1"/>
    <w:rsid w:val="00D94D39"/>
    <w:rsid w:val="00D97E4A"/>
    <w:rsid w:val="00DC4872"/>
    <w:rsid w:val="00DE09DF"/>
    <w:rsid w:val="00DE4606"/>
    <w:rsid w:val="00DE6339"/>
    <w:rsid w:val="00DF1E89"/>
    <w:rsid w:val="00DF4292"/>
    <w:rsid w:val="00DF6D7A"/>
    <w:rsid w:val="00DF725E"/>
    <w:rsid w:val="00DF7D9B"/>
    <w:rsid w:val="00E060E0"/>
    <w:rsid w:val="00E061BA"/>
    <w:rsid w:val="00E154B0"/>
    <w:rsid w:val="00E47678"/>
    <w:rsid w:val="00E477F3"/>
    <w:rsid w:val="00E74915"/>
    <w:rsid w:val="00E75CDD"/>
    <w:rsid w:val="00E818C0"/>
    <w:rsid w:val="00E82A86"/>
    <w:rsid w:val="00E82F5D"/>
    <w:rsid w:val="00E8392E"/>
    <w:rsid w:val="00E841DD"/>
    <w:rsid w:val="00E86A36"/>
    <w:rsid w:val="00E87BC3"/>
    <w:rsid w:val="00E978BF"/>
    <w:rsid w:val="00EA4702"/>
    <w:rsid w:val="00EB1763"/>
    <w:rsid w:val="00EB179E"/>
    <w:rsid w:val="00EB1965"/>
    <w:rsid w:val="00EB5E7C"/>
    <w:rsid w:val="00EE0330"/>
    <w:rsid w:val="00EE1F3F"/>
    <w:rsid w:val="00EF01B2"/>
    <w:rsid w:val="00EF05ED"/>
    <w:rsid w:val="00F107D6"/>
    <w:rsid w:val="00F14A7C"/>
    <w:rsid w:val="00F16333"/>
    <w:rsid w:val="00F177DB"/>
    <w:rsid w:val="00F17BA5"/>
    <w:rsid w:val="00F21EBC"/>
    <w:rsid w:val="00F26610"/>
    <w:rsid w:val="00F303D5"/>
    <w:rsid w:val="00F30D0D"/>
    <w:rsid w:val="00F32104"/>
    <w:rsid w:val="00F44143"/>
    <w:rsid w:val="00F57B50"/>
    <w:rsid w:val="00F70D4D"/>
    <w:rsid w:val="00FB0907"/>
    <w:rsid w:val="00FB2F57"/>
    <w:rsid w:val="00FB36CC"/>
    <w:rsid w:val="00FD27C4"/>
    <w:rsid w:val="00FD44DA"/>
    <w:rsid w:val="00FD533F"/>
    <w:rsid w:val="00FE54E8"/>
    <w:rsid w:val="00FE60A2"/>
    <w:rsid w:val="00FE75DF"/>
    <w:rsid w:val="00FE7964"/>
    <w:rsid w:val="00FF24E6"/>
    <w:rsid w:val="00FF2808"/>
    <w:rsid w:val="00FF7C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0C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EE"/>
  </w:style>
  <w:style w:type="paragraph" w:styleId="Titre2">
    <w:name w:val="heading 2"/>
    <w:basedOn w:val="Normal"/>
    <w:next w:val="Normal"/>
    <w:link w:val="Titre2Car"/>
    <w:uiPriority w:val="9"/>
    <w:unhideWhenUsed/>
    <w:qFormat/>
    <w:rsid w:val="00815AEE"/>
    <w:pPr>
      <w:keepNext/>
      <w:keepLines/>
      <w:spacing w:before="200" w:line="360" w:lineRule="auto"/>
      <w:outlineLvl w:val="1"/>
    </w:pPr>
    <w:rPr>
      <w:rFonts w:ascii="Times" w:eastAsiaTheme="majorEastAsia" w:hAnsi="Times" w:cstheme="majorBidi"/>
      <w:b/>
      <w:bCs/>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AEE"/>
    <w:rPr>
      <w:rFonts w:ascii="Times" w:eastAsiaTheme="majorEastAsia" w:hAnsi="Times" w:cstheme="majorBidi"/>
      <w:b/>
      <w:bCs/>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3099</Characters>
  <Application>Microsoft Office Word</Application>
  <DocSecurity>0</DocSecurity>
  <Lines>25</Lines>
  <Paragraphs>7</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
      <vt:lpstr/>
      <vt:lpstr/>
      <vt:lpstr/>
      <vt:lpstr>/</vt:lpstr>
      <vt:lpstr/>
      <vt:lpstr/>
      <vt:lpstr>    FigS5: Fast kinetic dilution and determination of size variation of PrP assembli</vt:lpstr>
      <vt:lpstr>: the detection angle here fixed at 88°</vt:lpstr>
      <vt:lpstr/>
    </vt:vector>
  </TitlesOfParts>
  <Company>Hewlett-Packard Company</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Rezaei</dc:creator>
  <cp:keywords/>
  <dc:description/>
  <cp:lastModifiedBy>Angelique</cp:lastModifiedBy>
  <cp:revision>2</cp:revision>
  <dcterms:created xsi:type="dcterms:W3CDTF">2017-08-03T16:42:00Z</dcterms:created>
  <dcterms:modified xsi:type="dcterms:W3CDTF">2017-08-03T16:42:00Z</dcterms:modified>
</cp:coreProperties>
</file>