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42"/>
        <w:gridCol w:w="383"/>
        <w:gridCol w:w="42"/>
        <w:gridCol w:w="708"/>
        <w:gridCol w:w="993"/>
        <w:gridCol w:w="994"/>
        <w:gridCol w:w="707"/>
        <w:gridCol w:w="1134"/>
        <w:gridCol w:w="1277"/>
      </w:tblGrid>
      <w:tr w:rsidR="005F2C6A" w:rsidRPr="005F2C6A" w14:paraId="19E103FD" w14:textId="77777777" w:rsidTr="00B54B84">
        <w:trPr>
          <w:trHeight w:val="814"/>
        </w:trPr>
        <w:tc>
          <w:tcPr>
            <w:tcW w:w="9514" w:type="dxa"/>
            <w:gridSpan w:val="10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6788DB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 xml:space="preserve">Table S5. </w:t>
            </w:r>
            <w:r w:rsidRPr="005F2C6A">
              <w:rPr>
                <w:rFonts w:ascii="Arial" w:eastAsia="ＭＳ 明朝" w:hAnsi="Arial" w:cs="Times New Roman"/>
                <w:bCs/>
                <w:color w:val="000000"/>
                <w:sz w:val="18"/>
                <w:szCs w:val="18"/>
              </w:rPr>
              <w:t>KEGG pathway enrichment analysis:</w:t>
            </w: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2C6A">
              <w:rPr>
                <w:rFonts w:ascii="Arial" w:eastAsia="ＭＳ 明朝" w:hAnsi="Arial" w:cs="Times New Roman"/>
                <w:bCs/>
                <w:color w:val="000000"/>
                <w:sz w:val="18"/>
                <w:szCs w:val="18"/>
              </w:rPr>
              <w:t xml:space="preserve">statistically enriched pathways among differentially expressed genes in </w:t>
            </w:r>
            <w:r w:rsidRPr="005F2C6A">
              <w:rPr>
                <w:rFonts w:ascii="Arial" w:eastAsia="ＭＳ 明朝" w:hAnsi="Arial" w:cs="Times New Roman"/>
                <w:bCs/>
                <w:i/>
                <w:color w:val="000000"/>
                <w:sz w:val="18"/>
                <w:szCs w:val="18"/>
              </w:rPr>
              <w:t>Arabidopsis thaliana</w:t>
            </w:r>
            <w:r w:rsidRPr="005F2C6A">
              <w:rPr>
                <w:rFonts w:ascii="Arial" w:eastAsia="ＭＳ 明朝" w:hAnsi="Arial" w:cs="Times New Roman"/>
                <w:bCs/>
                <w:color w:val="000000"/>
                <w:sz w:val="18"/>
                <w:szCs w:val="18"/>
              </w:rPr>
              <w:t xml:space="preserve"> overexpressing </w:t>
            </w:r>
            <w:r w:rsidRPr="005F2C6A">
              <w:rPr>
                <w:rFonts w:ascii="Arial" w:eastAsia="ＭＳ 明朝" w:hAnsi="Arial" w:cs="Times New Roman"/>
                <w:bCs/>
                <w:i/>
                <w:color w:val="000000"/>
                <w:sz w:val="18"/>
                <w:szCs w:val="18"/>
              </w:rPr>
              <w:t>Hs-VAP1</w:t>
            </w:r>
            <w:r w:rsidRPr="005F2C6A">
              <w:rPr>
                <w:rFonts w:ascii="Arial" w:eastAsia="ＭＳ 明朝" w:hAnsi="Arial" w:cs="Times New Roman"/>
                <w:bCs/>
                <w:color w:val="000000"/>
                <w:sz w:val="18"/>
                <w:szCs w:val="18"/>
              </w:rPr>
              <w:t xml:space="preserve"> and </w:t>
            </w:r>
            <w:r w:rsidRPr="005F2C6A">
              <w:rPr>
                <w:rFonts w:ascii="Arial" w:eastAsia="ＭＳ 明朝" w:hAnsi="Arial" w:cs="Times New Roman"/>
                <w:bCs/>
                <w:i/>
                <w:color w:val="000000"/>
                <w:sz w:val="18"/>
                <w:szCs w:val="18"/>
              </w:rPr>
              <w:t>Hs-VAP2</w:t>
            </w:r>
            <w:r w:rsidRPr="005F2C6A">
              <w:rPr>
                <w:rFonts w:ascii="Arial" w:eastAsia="ＭＳ 明朝" w:hAnsi="Arial" w:cs="Times New Roman"/>
                <w:bCs/>
                <w:color w:val="000000"/>
                <w:sz w:val="18"/>
                <w:szCs w:val="18"/>
              </w:rPr>
              <w:t xml:space="preserve"> relative to the corresponding transgenic empty vector plants.</w:t>
            </w:r>
          </w:p>
        </w:tc>
      </w:tr>
      <w:tr w:rsidR="005F2C6A" w:rsidRPr="005F2C6A" w14:paraId="08799905" w14:textId="77777777" w:rsidTr="00B54B8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62D35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252363A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6F71A7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0BE7D47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Hs-VAP1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D8DBEB" w14:textId="77777777" w:rsidR="005F2C6A" w:rsidRPr="005F2C6A" w:rsidRDefault="005F2C6A" w:rsidP="005F2C6A">
            <w:pPr>
              <w:ind w:right="175"/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Hs-VAP2</w:t>
            </w:r>
          </w:p>
        </w:tc>
      </w:tr>
      <w:tr w:rsidR="005F2C6A" w:rsidRPr="005F2C6A" w14:paraId="15503B2B" w14:textId="77777777" w:rsidTr="00B54B84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015B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Pathway ID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D7FC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Pathway term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9B7930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5115D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F7D7FA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Q-value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257EB0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7A234B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A8C9BC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b/>
                <w:bCs/>
                <w:color w:val="000000"/>
                <w:sz w:val="18"/>
                <w:szCs w:val="18"/>
              </w:rPr>
              <w:t xml:space="preserve">Q-value </w:t>
            </w:r>
          </w:p>
        </w:tc>
      </w:tr>
      <w:tr w:rsidR="005F2C6A" w:rsidRPr="005F2C6A" w14:paraId="05EC8982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FA9C7D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KO04626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524645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Plant-pathogen interaction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5D5E9D41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C3BECD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6.71E-15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7B7F70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8.59E-13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25D4B1AC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6BB0DFFC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1.79E-14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7B8DB1D7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2.30E-12</w:t>
            </w:r>
          </w:p>
        </w:tc>
      </w:tr>
      <w:tr w:rsidR="005F2C6A" w:rsidRPr="005F2C6A" w14:paraId="3ED8F4AC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F23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KO02010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94A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ABC transporters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836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5A0F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8.28E-07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DD4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5.30E-05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888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11BD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3.51E-07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E34B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2.25E-05</w:t>
            </w:r>
          </w:p>
        </w:tc>
      </w:tr>
      <w:tr w:rsidR="005F2C6A" w:rsidRPr="005F2C6A" w14:paraId="558ECA52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2F3A0F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KO00402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D3278B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Benzoxazinoid biosynthesis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39A0CE0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0C7D71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2.47E-05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3539E9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1.06E-03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57FB5BA9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60F84F30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4.65E-06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3102DAC0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1.98E-04</w:t>
            </w:r>
          </w:p>
        </w:tc>
      </w:tr>
      <w:tr w:rsidR="005F2C6A" w:rsidRPr="005F2C6A" w14:paraId="45271C46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8C12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KO00190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7809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Oxidative phosphorylation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E7E2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914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7.83E-05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7BE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CAE7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0C27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7.22E-05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0C15F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0.0023</w:t>
            </w:r>
          </w:p>
        </w:tc>
      </w:tr>
      <w:tr w:rsidR="005F2C6A" w:rsidRPr="005F2C6A" w14:paraId="56ABD532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747D3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KO00941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F3EA3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Flavonoid biosynthesis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636D0DE7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BB538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80182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172AFC77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67241D79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6F8B864B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0.0142</w:t>
            </w:r>
          </w:p>
        </w:tc>
      </w:tr>
      <w:tr w:rsidR="005F2C6A" w:rsidRPr="005F2C6A" w14:paraId="79C72639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B30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KO03010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3762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Ribosome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7468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906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71FF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0E6B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CDCFE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69FA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0.0056</w:t>
            </w:r>
          </w:p>
        </w:tc>
      </w:tr>
      <w:tr w:rsidR="005F2C6A" w:rsidRPr="005F2C6A" w14:paraId="22F30902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125C21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KO04075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654EE8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Plant hormone signal transduction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0090E9DC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684CA7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51713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0.0199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14:paraId="7D7057E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59E89FAA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4C4234DE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0.0682</w:t>
            </w:r>
          </w:p>
        </w:tc>
      </w:tr>
      <w:tr w:rsidR="005F2C6A" w:rsidRPr="005F2C6A" w14:paraId="55112475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5BD4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KO04145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C681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Phagosome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431AE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D2EC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AB7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0.021502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8DEF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9C8E9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909A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0.0378</w:t>
            </w:r>
          </w:p>
        </w:tc>
      </w:tr>
      <w:tr w:rsidR="005F2C6A" w:rsidRPr="005F2C6A" w14:paraId="6208B680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0DB08568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KO00520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FAA5A5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Amino sugar and nucleotide sugar metabolism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14:paraId="75B193FD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87441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4B6DC9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0.0499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D9D9D9" w:fill="D9D9D9"/>
            <w:vAlign w:val="center"/>
          </w:tcPr>
          <w:p w14:paraId="40BF8C8A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</w:tcPr>
          <w:p w14:paraId="0F7F5FC7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0.0058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center"/>
          </w:tcPr>
          <w:p w14:paraId="248A2060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0.0744</w:t>
            </w:r>
          </w:p>
        </w:tc>
      </w:tr>
      <w:tr w:rsidR="005F2C6A" w:rsidRPr="005F2C6A" w14:paraId="765F83B8" w14:textId="77777777" w:rsidTr="00B54B84">
        <w:trPr>
          <w:trHeight w:val="300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2C1D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KO00195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FF51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Photosynthesis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995BBC5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29EB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DC6F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0.0499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C3273C6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69070E3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E4774FA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>0.0650</w:t>
            </w:r>
          </w:p>
        </w:tc>
      </w:tr>
      <w:tr w:rsidR="005F2C6A" w:rsidRPr="005F2C6A" w14:paraId="2C480EAA" w14:textId="77777777" w:rsidTr="00B54B84">
        <w:trPr>
          <w:trHeight w:val="529"/>
        </w:trPr>
        <w:tc>
          <w:tcPr>
            <w:tcW w:w="9514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4D0F12" w14:textId="77777777" w:rsidR="005F2C6A" w:rsidRPr="005F2C6A" w:rsidRDefault="005F2C6A" w:rsidP="005F2C6A">
            <w:pPr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</w:pP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 xml:space="preserve">The enrichment </w:t>
            </w:r>
            <w:r w:rsidRPr="005F2C6A">
              <w:rPr>
                <w:rFonts w:ascii="Arial" w:eastAsia="ＭＳ 明朝" w:hAnsi="Arial" w:cs="Times New Roman"/>
                <w:i/>
                <w:color w:val="000000"/>
                <w:sz w:val="18"/>
                <w:szCs w:val="18"/>
              </w:rPr>
              <w:t>P</w:t>
            </w:r>
            <w:r w:rsidRPr="005F2C6A">
              <w:rPr>
                <w:rFonts w:ascii="Arial" w:eastAsia="ＭＳ 明朝" w:hAnsi="Arial" w:cs="Times New Roman"/>
                <w:color w:val="000000"/>
                <w:sz w:val="18"/>
                <w:szCs w:val="18"/>
              </w:rPr>
              <w:t xml:space="preserve">-value was calculated using ultra-geometric test and corrected for multiple hypothesis testing by calculating Q-values. </w:t>
            </w:r>
          </w:p>
        </w:tc>
      </w:tr>
    </w:tbl>
    <w:p w14:paraId="63676387" w14:textId="77777777" w:rsidR="005F2C6A" w:rsidRPr="005F2C6A" w:rsidRDefault="005F2C6A" w:rsidP="005F2C6A">
      <w:pPr>
        <w:spacing w:line="360" w:lineRule="auto"/>
        <w:jc w:val="both"/>
        <w:rPr>
          <w:rFonts w:ascii="Palatino Linotype" w:eastAsia="ＭＳ 明朝" w:hAnsi="Palatino Linotype" w:cs="Times New Roman"/>
        </w:rPr>
      </w:pPr>
    </w:p>
    <w:p w14:paraId="10620EBC" w14:textId="77777777" w:rsidR="005F2C6A" w:rsidRPr="005F2C6A" w:rsidRDefault="005F2C6A" w:rsidP="005F2C6A">
      <w:pPr>
        <w:rPr>
          <w:rFonts w:ascii="Palatino Linotype" w:eastAsia="ＭＳ 明朝" w:hAnsi="Palatino Linotype" w:cs="Times New Roman"/>
        </w:rPr>
      </w:pPr>
      <w:bookmarkStart w:id="0" w:name="_GoBack"/>
      <w:bookmarkEnd w:id="0"/>
    </w:p>
    <w:sectPr w:rsidR="005F2C6A" w:rsidRPr="005F2C6A" w:rsidSect="00766A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A"/>
    <w:rsid w:val="00146E7F"/>
    <w:rsid w:val="001F180E"/>
    <w:rsid w:val="005F2C6A"/>
    <w:rsid w:val="00D41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A77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Macintosh Word</Application>
  <DocSecurity>0</DocSecurity>
  <Lines>8</Lines>
  <Paragraphs>2</Paragraphs>
  <ScaleCrop>false</ScaleCrop>
  <Company>Wageningen University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Lozano</dc:creator>
  <cp:keywords/>
  <dc:description/>
  <cp:lastModifiedBy>Jose Lozano</cp:lastModifiedBy>
  <cp:revision>3</cp:revision>
  <dcterms:created xsi:type="dcterms:W3CDTF">2014-11-13T08:14:00Z</dcterms:created>
  <dcterms:modified xsi:type="dcterms:W3CDTF">2014-11-13T08:17:00Z</dcterms:modified>
</cp:coreProperties>
</file>