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62" w:rsidRPr="00CC3B67" w:rsidRDefault="005E6462" w:rsidP="00887B2B">
      <w:pPr>
        <w:spacing w:after="0"/>
        <w:contextualSpacing/>
        <w:rPr>
          <w:rFonts w:ascii="Arial" w:hAnsi="Arial" w:cs="Arial"/>
          <w:b/>
          <w:sz w:val="24"/>
        </w:rPr>
      </w:pPr>
      <w:bookmarkStart w:id="0" w:name="_GoBack"/>
      <w:bookmarkEnd w:id="0"/>
      <w:r w:rsidRPr="00CC3B67">
        <w:rPr>
          <w:rFonts w:ascii="Arial" w:hAnsi="Arial" w:cs="Arial"/>
          <w:b/>
          <w:sz w:val="24"/>
        </w:rPr>
        <w:t xml:space="preserve">Table </w:t>
      </w:r>
      <w:r w:rsidR="00990885" w:rsidRPr="00CC3B67">
        <w:rPr>
          <w:rFonts w:ascii="Arial" w:hAnsi="Arial" w:cs="Arial"/>
          <w:b/>
          <w:sz w:val="24"/>
        </w:rPr>
        <w:t>S</w:t>
      </w:r>
      <w:r w:rsidR="00AD0904" w:rsidRPr="00CC3B67">
        <w:rPr>
          <w:rFonts w:ascii="Arial" w:hAnsi="Arial" w:cs="Arial"/>
          <w:b/>
          <w:sz w:val="24"/>
        </w:rPr>
        <w:t>5</w:t>
      </w:r>
      <w:r w:rsidRPr="00CC3B67">
        <w:rPr>
          <w:rFonts w:ascii="Arial" w:hAnsi="Arial" w:cs="Arial"/>
          <w:b/>
          <w:sz w:val="24"/>
        </w:rPr>
        <w:t xml:space="preserve">. Redox-relevant proteins encoded within the genomes of the </w:t>
      </w:r>
      <w:r w:rsidR="00887B2B" w:rsidRPr="00CC3B67">
        <w:rPr>
          <w:rFonts w:ascii="Arial" w:hAnsi="Arial" w:cs="Arial"/>
          <w:b/>
          <w:sz w:val="24"/>
        </w:rPr>
        <w:t>pathogenic</w:t>
      </w:r>
      <w:r w:rsidRPr="00CC3B67">
        <w:rPr>
          <w:rFonts w:ascii="Arial" w:hAnsi="Arial" w:cs="Arial"/>
          <w:b/>
          <w:sz w:val="24"/>
        </w:rPr>
        <w:t xml:space="preserve"> spirochetes </w:t>
      </w:r>
      <w:r w:rsidRPr="00CC3B67">
        <w:rPr>
          <w:rFonts w:ascii="Arial" w:hAnsi="Arial" w:cs="Arial"/>
          <w:b/>
          <w:i/>
          <w:sz w:val="24"/>
        </w:rPr>
        <w:t>Treponema pallidum</w:t>
      </w:r>
      <w:r w:rsidRPr="00CC3B67">
        <w:rPr>
          <w:rFonts w:ascii="Arial" w:hAnsi="Arial" w:cs="Arial"/>
          <w:b/>
          <w:sz w:val="24"/>
        </w:rPr>
        <w:t xml:space="preserve">, </w:t>
      </w:r>
      <w:r w:rsidRPr="00CC3B67">
        <w:rPr>
          <w:rFonts w:ascii="Arial" w:hAnsi="Arial" w:cs="Arial"/>
          <w:b/>
          <w:i/>
          <w:sz w:val="24"/>
        </w:rPr>
        <w:t>Borre</w:t>
      </w:r>
      <w:r w:rsidR="00887B2B" w:rsidRPr="00CC3B67">
        <w:rPr>
          <w:rFonts w:ascii="Arial" w:hAnsi="Arial" w:cs="Arial"/>
          <w:b/>
          <w:i/>
          <w:sz w:val="24"/>
        </w:rPr>
        <w:t>lia burgdorferi</w:t>
      </w:r>
      <w:r w:rsidR="00887B2B" w:rsidRPr="00CC3B67">
        <w:rPr>
          <w:rFonts w:ascii="Arial" w:hAnsi="Arial" w:cs="Arial"/>
          <w:b/>
          <w:sz w:val="24"/>
        </w:rPr>
        <w:t xml:space="preserve"> and </w:t>
      </w:r>
      <w:r w:rsidR="00887B2B" w:rsidRPr="00CC3B67">
        <w:rPr>
          <w:rFonts w:ascii="Arial" w:hAnsi="Arial" w:cs="Arial"/>
          <w:b/>
          <w:i/>
          <w:sz w:val="24"/>
        </w:rPr>
        <w:t>L. interrogans</w:t>
      </w:r>
      <w:r w:rsidR="00887B2B" w:rsidRPr="00CC3B67">
        <w:rPr>
          <w:rFonts w:ascii="Arial" w:hAnsi="Arial" w:cs="Arial"/>
          <w:b/>
          <w:sz w:val="24"/>
        </w:rPr>
        <w:t xml:space="preserve"> </w:t>
      </w:r>
      <w:proofErr w:type="spellStart"/>
      <w:r w:rsidR="00D44B90" w:rsidRPr="00CC3B67">
        <w:rPr>
          <w:rFonts w:ascii="Arial" w:hAnsi="Arial" w:cs="Arial"/>
          <w:b/>
          <w:sz w:val="24"/>
        </w:rPr>
        <w:t>sv</w:t>
      </w:r>
      <w:proofErr w:type="spellEnd"/>
      <w:r w:rsidR="00D44B90" w:rsidRPr="00CC3B67">
        <w:rPr>
          <w:rFonts w:ascii="Arial" w:hAnsi="Arial" w:cs="Arial"/>
          <w:b/>
          <w:sz w:val="24"/>
        </w:rPr>
        <w:t xml:space="preserve">. </w:t>
      </w:r>
      <w:proofErr w:type="gramStart"/>
      <w:r w:rsidR="00887B2B" w:rsidRPr="00CC3B67">
        <w:rPr>
          <w:rFonts w:ascii="Arial" w:hAnsi="Arial" w:cs="Arial"/>
          <w:b/>
          <w:sz w:val="24"/>
        </w:rPr>
        <w:t>Copenhageni.</w:t>
      </w:r>
      <w:proofErr w:type="gramEnd"/>
      <w:r w:rsidR="00887B2B" w:rsidRPr="00CC3B67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46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440"/>
        <w:gridCol w:w="5220"/>
        <w:gridCol w:w="900"/>
        <w:gridCol w:w="210"/>
        <w:gridCol w:w="1110"/>
        <w:gridCol w:w="30"/>
        <w:gridCol w:w="1080"/>
        <w:gridCol w:w="990"/>
        <w:gridCol w:w="120"/>
        <w:gridCol w:w="960"/>
        <w:gridCol w:w="150"/>
        <w:gridCol w:w="1020"/>
        <w:gridCol w:w="90"/>
      </w:tblGrid>
      <w:tr w:rsidR="00CC3B67" w:rsidRPr="007C6A91" w:rsidTr="00CC3B67">
        <w:trPr>
          <w:gridAfter w:val="1"/>
          <w:wAfter w:w="90" w:type="dxa"/>
        </w:trPr>
        <w:tc>
          <w:tcPr>
            <w:tcW w:w="13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szCs w:val="20"/>
              </w:rPr>
              <w:t>Treponema</w:t>
            </w:r>
            <w:proofErr w:type="spellEnd"/>
            <w:r w:rsidRPr="007C6A91">
              <w:rPr>
                <w:rFonts w:ascii="Arial" w:hAnsi="Arial" w:cs="Arial"/>
                <w:i/>
                <w:szCs w:val="20"/>
              </w:rPr>
              <w:t xml:space="preserve"> pallidum</w:t>
            </w:r>
            <w:r>
              <w:rPr>
                <w:rFonts w:ascii="Arial" w:hAnsi="Arial" w:cs="Arial"/>
                <w:i/>
                <w:szCs w:val="20"/>
                <w:vertAlign w:val="superscript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szCs w:val="20"/>
              </w:rPr>
            </w:pPr>
            <w:r w:rsidRPr="007C6A91">
              <w:rPr>
                <w:rFonts w:ascii="Arial" w:hAnsi="Arial" w:cs="Arial"/>
                <w:i/>
                <w:szCs w:val="20"/>
              </w:rPr>
              <w:t>Borrelia burgdorferi</w:t>
            </w:r>
            <w:r>
              <w:rPr>
                <w:rFonts w:ascii="Arial" w:hAnsi="Arial" w:cs="Arial"/>
                <w:i/>
                <w:szCs w:val="20"/>
                <w:vertAlign w:val="superscript"/>
              </w:rPr>
              <w:t>1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Protein Family</w:t>
            </w:r>
          </w:p>
        </w:tc>
        <w:tc>
          <w:tcPr>
            <w:tcW w:w="657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C3B67" w:rsidRPr="00CC3B67" w:rsidRDefault="00CC3B67" w:rsidP="00CC3B67">
            <w:pPr>
              <w:ind w:right="-618"/>
              <w:contextualSpacing/>
              <w:jc w:val="center"/>
              <w:rPr>
                <w:rFonts w:ascii="Arial" w:hAnsi="Arial" w:cs="Arial"/>
                <w:i/>
                <w:szCs w:val="20"/>
              </w:rPr>
            </w:pPr>
            <w:r w:rsidRPr="00CC3B67">
              <w:rPr>
                <w:rFonts w:ascii="Arial" w:hAnsi="Arial" w:cs="Arial"/>
                <w:i/>
                <w:szCs w:val="20"/>
              </w:rPr>
              <w:t xml:space="preserve">Leptospira interrogans </w:t>
            </w:r>
          </w:p>
        </w:tc>
      </w:tr>
      <w:tr w:rsidR="00CC3B67" w:rsidRPr="007C6A91" w:rsidTr="00CC3B67">
        <w:trPr>
          <w:trHeight w:val="253"/>
        </w:trPr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52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CC3B67" w:rsidRPr="007C6A91" w:rsidRDefault="00CC3B67">
            <w:r w:rsidRPr="007C6A91">
              <w:rPr>
                <w:rFonts w:ascii="Arial" w:eastAsia="SimSun" w:hAnsi="Arial" w:cs="Arial"/>
                <w:iCs/>
                <w:color w:val="000000" w:themeColor="text1"/>
                <w:szCs w:val="20"/>
              </w:rPr>
              <w:t>LIC ID</w:t>
            </w:r>
          </w:p>
        </w:tc>
        <w:tc>
          <w:tcPr>
            <w:tcW w:w="1110" w:type="dxa"/>
            <w:vAlign w:val="center"/>
          </w:tcPr>
          <w:p w:rsidR="00CC3B67" w:rsidRPr="007C6A91" w:rsidRDefault="00CC3B67">
            <w:r w:rsidRPr="007C6A91">
              <w:rPr>
                <w:rFonts w:ascii="Arial" w:eastAsia="SimSun" w:hAnsi="Arial" w:cs="Arial"/>
                <w:bCs/>
                <w:iCs/>
                <w:color w:val="000000" w:themeColor="text1"/>
                <w:szCs w:val="20"/>
              </w:rPr>
              <w:t>Gene</w:t>
            </w:r>
          </w:p>
        </w:tc>
        <w:tc>
          <w:tcPr>
            <w:tcW w:w="1110" w:type="dxa"/>
            <w:gridSpan w:val="2"/>
            <w:vAlign w:val="center"/>
          </w:tcPr>
          <w:p w:rsidR="00CC3B67" w:rsidRPr="007C6A91" w:rsidRDefault="00CC3B67">
            <w:r w:rsidRPr="007C6A91">
              <w:rPr>
                <w:rFonts w:ascii="Arial" w:eastAsia="SimSun" w:hAnsi="Arial" w:cs="Arial"/>
                <w:bCs/>
                <w:color w:val="000000" w:themeColor="text1"/>
                <w:szCs w:val="20"/>
              </w:rPr>
              <w:t>DMC</w:t>
            </w:r>
            <w:r w:rsidRPr="00922F65">
              <w:rPr>
                <w:rFonts w:ascii="Arial" w:eastAsia="SimSun" w:hAnsi="Arial" w:cs="Arial"/>
                <w:bCs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1110" w:type="dxa"/>
            <w:gridSpan w:val="2"/>
            <w:vAlign w:val="center"/>
          </w:tcPr>
          <w:p w:rsidR="00CC3B67" w:rsidRPr="007C6A91" w:rsidRDefault="00CC3B67">
            <w:r>
              <w:rPr>
                <w:rFonts w:ascii="Arial" w:eastAsia="SimSun" w:hAnsi="Arial" w:cs="Arial"/>
                <w:bCs/>
                <w:color w:val="000000" w:themeColor="text1"/>
                <w:szCs w:val="20"/>
              </w:rPr>
              <w:t>IV</w:t>
            </w:r>
            <w:r w:rsidRPr="00161075">
              <w:rPr>
                <w:rFonts w:ascii="Arial" w:eastAsia="SimSun" w:hAnsi="Arial" w:cs="Arial"/>
                <w:bCs/>
                <w:color w:val="000000" w:themeColor="text1"/>
                <w:szCs w:val="20"/>
                <w:vertAlign w:val="superscript"/>
              </w:rPr>
              <w:t>3</w:t>
            </w:r>
          </w:p>
        </w:tc>
        <w:tc>
          <w:tcPr>
            <w:tcW w:w="1110" w:type="dxa"/>
            <w:gridSpan w:val="2"/>
          </w:tcPr>
          <w:p w:rsidR="00CC3B67" w:rsidRPr="007C6A91" w:rsidRDefault="00CC3B67">
            <w:r w:rsidRPr="007C6A91">
              <w:rPr>
                <w:rFonts w:ascii="Arial" w:eastAsia="SimSun" w:hAnsi="Arial" w:cs="Arial"/>
                <w:bCs/>
                <w:color w:val="000000" w:themeColor="text1"/>
                <w:szCs w:val="20"/>
              </w:rPr>
              <w:t>Fold-change</w:t>
            </w:r>
          </w:p>
        </w:tc>
        <w:tc>
          <w:tcPr>
            <w:tcW w:w="1110" w:type="dxa"/>
            <w:gridSpan w:val="2"/>
            <w:vAlign w:val="center"/>
          </w:tcPr>
          <w:p w:rsidR="00CC3B67" w:rsidRPr="007C6A91" w:rsidRDefault="00CC3B67">
            <w:r w:rsidRPr="00CE0CC0">
              <w:rPr>
                <w:rFonts w:ascii="Arial" w:eastAsia="SimSun" w:hAnsi="Arial" w:cs="Arial"/>
                <w:bCs/>
                <w:color w:val="000000" w:themeColor="text1"/>
              </w:rPr>
              <w:t>P-adj</w:t>
            </w:r>
            <w:r>
              <w:rPr>
                <w:rFonts w:ascii="Arial" w:eastAsia="SimSun" w:hAnsi="Arial" w:cs="Arial"/>
                <w:bCs/>
                <w:color w:val="000000" w:themeColor="text1"/>
                <w:vertAlign w:val="superscript"/>
              </w:rPr>
              <w:t>4</w:t>
            </w:r>
          </w:p>
        </w:tc>
      </w:tr>
      <w:tr w:rsidR="00CC3B67" w:rsidRPr="007C6A91" w:rsidTr="00E956AA"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Peroxiredoxin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AhpC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ind w:left="-575" w:firstLine="575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11219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ahpC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859.87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144.23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5.96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7.29 x 10</w:t>
            </w:r>
            <w:r w:rsidRPr="007C6A91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-7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Catalase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12032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katE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1363.79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761.75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1.79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0.681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Thioredoxin</w:t>
            </w:r>
            <w:proofErr w:type="spellEnd"/>
            <w:r w:rsidRPr="007C6A91">
              <w:rPr>
                <w:rFonts w:ascii="Arial" w:hAnsi="Arial" w:cs="Arial"/>
                <w:color w:val="000000" w:themeColor="text1"/>
                <w:szCs w:val="20"/>
              </w:rPr>
              <w:t xml:space="preserve"> reductase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TxrR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11470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trxB</w:t>
            </w:r>
            <w:proofErr w:type="spellEnd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 xml:space="preserve"> (</w:t>
            </w: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trxR</w:t>
            </w:r>
            <w:proofErr w:type="spellEnd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)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43.19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67.09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-1.56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0.328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 (2)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 (1)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Thioredoxin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(2)</w:t>
            </w:r>
            <w:r>
              <w:rPr>
                <w:rFonts w:ascii="Arial" w:hAnsi="Arial" w:cs="Arial"/>
                <w:color w:val="000000" w:themeColor="text1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11978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trxA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144.99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131.78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1.10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0.977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10278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4.42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3.09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1.43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0.848</w:t>
            </w:r>
          </w:p>
        </w:tc>
      </w:tr>
      <w:tr w:rsidR="00CC3B67" w:rsidRPr="007C6A91" w:rsidTr="007A2B00">
        <w:trPr>
          <w:trHeight w:val="405"/>
        </w:trPr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Polyketide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 xml:space="preserve"> synthase (</w:t>
            </w:r>
            <w:proofErr w:type="spellStart"/>
            <w:r>
              <w:rPr>
                <w:rFonts w:ascii="Arial" w:hAnsi="Arial" w:cs="Arial"/>
                <w:color w:val="000000" w:themeColor="text1"/>
                <w:szCs w:val="20"/>
              </w:rPr>
              <w:t>TrxR</w:t>
            </w:r>
            <w:proofErr w:type="spellEnd"/>
            <w:r>
              <w:rPr>
                <w:rFonts w:ascii="Arial" w:hAnsi="Arial" w:cs="Arial"/>
                <w:color w:val="000000" w:themeColor="text1"/>
                <w:szCs w:val="20"/>
              </w:rPr>
              <w:t>-like)</w:t>
            </w:r>
          </w:p>
        </w:tc>
        <w:tc>
          <w:tcPr>
            <w:tcW w:w="900" w:type="dxa"/>
            <w:vAlign w:val="center"/>
          </w:tcPr>
          <w:p w:rsidR="00CC3B67" w:rsidRPr="003B3090" w:rsidRDefault="00CC3B67" w:rsidP="007A2B00">
            <w:pPr>
              <w:spacing w:after="200"/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922F65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10149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3B3090" w:rsidRDefault="00CC3B67" w:rsidP="007A2B00">
            <w:pPr>
              <w:spacing w:after="200"/>
              <w:contextualSpacing/>
              <w:jc w:val="center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proofErr w:type="spellStart"/>
            <w:r w:rsidRPr="00922F65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frnE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3B3090" w:rsidRDefault="00CC3B67" w:rsidP="007A2B00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22F65">
              <w:rPr>
                <w:rFonts w:ascii="Arial" w:hAnsi="Arial" w:cs="Arial"/>
                <w:b/>
                <w:color w:val="000000" w:themeColor="text1"/>
                <w:szCs w:val="20"/>
              </w:rPr>
              <w:t>23.76</w:t>
            </w:r>
          </w:p>
        </w:tc>
        <w:tc>
          <w:tcPr>
            <w:tcW w:w="990" w:type="dxa"/>
            <w:vAlign w:val="center"/>
          </w:tcPr>
          <w:p w:rsidR="00CC3B67" w:rsidRPr="003B3090" w:rsidRDefault="00CC3B67" w:rsidP="007A2B00">
            <w:pPr>
              <w:spacing w:after="200"/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922F65">
              <w:rPr>
                <w:rFonts w:ascii="Arial" w:hAnsi="Arial" w:cs="Arial"/>
                <w:b/>
                <w:color w:val="000000" w:themeColor="text1"/>
                <w:szCs w:val="20"/>
              </w:rPr>
              <w:t>4.86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3B3090" w:rsidRDefault="00CC3B67" w:rsidP="007A2B00">
            <w:pPr>
              <w:spacing w:after="200"/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 w:rsidRPr="00922F65">
              <w:rPr>
                <w:rFonts w:ascii="Arial" w:eastAsia="Times New Roman" w:hAnsi="Arial" w:cs="Times New Roman"/>
                <w:b/>
                <w:color w:val="000000"/>
              </w:rPr>
              <w:t>4.89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3B3090" w:rsidRDefault="00CC3B67" w:rsidP="007A2B00">
            <w:pPr>
              <w:spacing w:after="200"/>
              <w:jc w:val="center"/>
              <w:rPr>
                <w:rFonts w:ascii="Arial" w:eastAsia="Times New Roman" w:hAnsi="Arial" w:cs="Times New Roman"/>
                <w:b/>
                <w:color w:val="000000"/>
              </w:rPr>
            </w:pPr>
            <w:r w:rsidRPr="00922F65">
              <w:rPr>
                <w:rFonts w:ascii="Arial" w:eastAsia="Times New Roman" w:hAnsi="Arial" w:cs="Times New Roman"/>
                <w:b/>
                <w:color w:val="000000"/>
              </w:rPr>
              <w:t>1.08E-02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Thiol</w:t>
            </w:r>
            <w:proofErr w:type="spellEnd"/>
            <w:r w:rsidRPr="007C6A91">
              <w:rPr>
                <w:rFonts w:ascii="Arial" w:hAnsi="Arial" w:cs="Arial"/>
                <w:color w:val="000000" w:themeColor="text1"/>
                <w:szCs w:val="20"/>
              </w:rPr>
              <w:t xml:space="preserve"> peroxidase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12765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tpx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16.07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23.17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-1.45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0.700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Glutathione peroxidase (2)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12648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btuE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52.75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20.79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2.54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0.086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13442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gpo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50.35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17.38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2.90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0.054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Glutaredoxin-related protein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11809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30.32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39.88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-1.32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0.586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Glutathione S-transferase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GST</w:t>
            </w:r>
            <w:r w:rsidRPr="007C6A91">
              <w:rPr>
                <w:rFonts w:ascii="Arial" w:hAnsi="Arial" w:cs="Arial"/>
                <w:color w:val="000000" w:themeColor="text1"/>
                <w:szCs w:val="20"/>
              </w:rPr>
              <w:t xml:space="preserve"> (3)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C3B67" w:rsidRPr="00905636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905636">
              <w:rPr>
                <w:rFonts w:ascii="Arial" w:eastAsia="Times New Roman" w:hAnsi="Arial" w:cs="Arial"/>
                <w:color w:val="000000" w:themeColor="text1"/>
                <w:szCs w:val="20"/>
              </w:rPr>
              <w:t>10807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gst-1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44.45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88.64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-2.0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0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0.063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11363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gst-2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14.27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9.50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1.50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0.640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905636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905636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12981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i/>
                <w:color w:val="000000" w:themeColor="text1"/>
                <w:szCs w:val="20"/>
              </w:rPr>
              <w:t>gst-3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10.16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2.54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4.00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0.026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CE3249">
              <w:rPr>
                <w:rFonts w:ascii="Arial" w:eastAsia="Times New Roman" w:hAnsi="Arial" w:cs="Arial"/>
              </w:rPr>
              <w:t>γ-Glutamate-cysteine ligase</w:t>
            </w:r>
          </w:p>
        </w:tc>
        <w:tc>
          <w:tcPr>
            <w:tcW w:w="900" w:type="dxa"/>
            <w:vAlign w:val="center"/>
          </w:tcPr>
          <w:p w:rsidR="00CC3B67" w:rsidRPr="00CE3249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</w:rPr>
            </w:pPr>
            <w:r w:rsidRPr="00CE3249">
              <w:rPr>
                <w:rFonts w:ascii="Arial" w:eastAsia="Times New Roman" w:hAnsi="Arial" w:cs="Arial"/>
              </w:rPr>
              <w:t>11812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BA4600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BA4600">
              <w:rPr>
                <w:rFonts w:ascii="Arial" w:hAnsi="Arial" w:cs="Arial"/>
                <w:i/>
                <w:color w:val="000000"/>
              </w:rPr>
              <w:t>gshA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CE3249" w:rsidRDefault="00CC3B67" w:rsidP="007A2B0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E3249">
              <w:rPr>
                <w:rFonts w:ascii="Arial" w:hAnsi="Arial" w:cs="Arial"/>
                <w:color w:val="000000"/>
              </w:rPr>
              <w:t>36.10</w:t>
            </w:r>
          </w:p>
        </w:tc>
        <w:tc>
          <w:tcPr>
            <w:tcW w:w="990" w:type="dxa"/>
            <w:vAlign w:val="center"/>
          </w:tcPr>
          <w:p w:rsidR="00CC3B67" w:rsidRPr="00CE3249" w:rsidRDefault="00CC3B67" w:rsidP="007A2B0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CE3249">
              <w:rPr>
                <w:rFonts w:ascii="Arial" w:hAnsi="Arial" w:cs="Arial"/>
                <w:color w:val="000000"/>
              </w:rPr>
              <w:t>51.23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CE3249" w:rsidRDefault="00CC3B67" w:rsidP="007A2B00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-1.43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BA4600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</w:rPr>
            </w:pPr>
            <w:r w:rsidRPr="00BA4600">
              <w:rPr>
                <w:rFonts w:ascii="Arial" w:hAnsi="Arial" w:cs="Arial"/>
                <w:color w:val="000000" w:themeColor="text1"/>
              </w:rPr>
              <w:t>0.679</w:t>
            </w:r>
          </w:p>
        </w:tc>
      </w:tr>
      <w:tr w:rsidR="00CC3B67" w:rsidRPr="007C6A91" w:rsidTr="00501AB9">
        <w:trPr>
          <w:trHeight w:val="288"/>
        </w:trPr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DNA-binding stress protein (</w:t>
            </w: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Dps</w:t>
            </w:r>
            <w:proofErr w:type="spellEnd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)</w:t>
            </w:r>
          </w:p>
        </w:tc>
        <w:tc>
          <w:tcPr>
            <w:tcW w:w="900" w:type="dxa"/>
            <w:vAlign w:val="center"/>
          </w:tcPr>
          <w:p w:rsidR="00CC3B67" w:rsidRPr="00905636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905636">
              <w:rPr>
                <w:rFonts w:ascii="Arial" w:eastAsia="Times New Roman" w:hAnsi="Arial" w:cs="Arial"/>
                <w:color w:val="000000" w:themeColor="text1"/>
                <w:szCs w:val="20"/>
              </w:rPr>
              <w:t>10606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dps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63.09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48.96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1.29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0.909</w:t>
            </w:r>
          </w:p>
        </w:tc>
      </w:tr>
      <w:tr w:rsidR="00CC3B67" w:rsidRPr="007C6A91" w:rsidTr="007A2B00">
        <w:trPr>
          <w:trHeight w:val="297"/>
        </w:trPr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Cytochrome c peroxidase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(3)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C3B67" w:rsidRPr="00905636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</w:pPr>
            <w:r w:rsidRPr="00905636">
              <w:rPr>
                <w:rFonts w:ascii="Arial" w:eastAsia="Times New Roman" w:hAnsi="Arial" w:cs="Arial"/>
                <w:b/>
                <w:color w:val="000000" w:themeColor="text1"/>
                <w:szCs w:val="20"/>
              </w:rPr>
              <w:t>12927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148.91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35.23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4.23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b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b/>
                <w:color w:val="000000" w:themeColor="text1"/>
                <w:szCs w:val="20"/>
              </w:rPr>
              <w:t>1.04 x 10</w:t>
            </w:r>
            <w:r w:rsidRPr="007C6A91">
              <w:rPr>
                <w:rFonts w:ascii="Arial" w:hAnsi="Arial" w:cs="Arial"/>
                <w:b/>
                <w:color w:val="000000" w:themeColor="text1"/>
                <w:szCs w:val="20"/>
                <w:vertAlign w:val="superscript"/>
              </w:rPr>
              <w:t>-5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11088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1.49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2.41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-1.61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0.740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10972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10.47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9.42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1.11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0.987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 (1)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Bacterioferritin</w:t>
            </w:r>
            <w:proofErr w:type="spellEnd"/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11310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bfr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177.82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202.40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-1.14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0.848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Bacterioferritin</w:t>
            </w:r>
            <w:proofErr w:type="spellEnd"/>
            <w:r w:rsidRPr="007C6A91">
              <w:rPr>
                <w:rFonts w:ascii="Arial" w:hAnsi="Arial" w:cs="Arial"/>
                <w:color w:val="000000" w:themeColor="text1"/>
                <w:szCs w:val="20"/>
              </w:rPr>
              <w:t xml:space="preserve"> co-migratory protein (2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)</w:t>
            </w:r>
            <w:r>
              <w:rPr>
                <w:rFonts w:ascii="Arial" w:hAnsi="Arial" w:cs="Arial"/>
                <w:szCs w:val="20"/>
                <w:vertAlign w:val="superscript"/>
              </w:rPr>
              <w:t>2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20093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bcp-1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45.85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52.29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-1.44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0.852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10732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bcp-2</w:t>
            </w: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23.34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29.89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-1.28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0.629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Ferredoxin</w:t>
            </w:r>
            <w:proofErr w:type="spellEnd"/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13258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i/>
                <w:color w:val="000000" w:themeColor="text1"/>
                <w:szCs w:val="20"/>
              </w:rPr>
              <w:t>fdx</w:t>
            </w:r>
            <w:proofErr w:type="spellEnd"/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6.71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9.96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-1.49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0.646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Bacterioferritin</w:t>
            </w:r>
            <w:proofErr w:type="spellEnd"/>
            <w:r w:rsidRPr="007C6A91">
              <w:rPr>
                <w:rFonts w:ascii="Arial" w:hAnsi="Arial" w:cs="Arial"/>
                <w:color w:val="000000" w:themeColor="text1"/>
                <w:szCs w:val="20"/>
              </w:rPr>
              <w:t xml:space="preserve">-associated </w:t>
            </w: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ferredoxin</w:t>
            </w:r>
            <w:proofErr w:type="spellEnd"/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13209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i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40.00</w:t>
            </w: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21.81</w:t>
            </w: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1.83</w:t>
            </w: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0.185</w:t>
            </w: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Superoxide dismutase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(SOD)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Yes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Superoxide reductase</w:t>
            </w:r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eastAsia="Times New Roman" w:hAnsi="Arial" w:cs="Arial"/>
                <w:color w:val="000000" w:themeColor="text1"/>
                <w:szCs w:val="2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C3B67" w:rsidRPr="007C6A91" w:rsidTr="00E956AA">
        <w:tc>
          <w:tcPr>
            <w:tcW w:w="135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OxyR</w:t>
            </w:r>
            <w:proofErr w:type="spellEnd"/>
          </w:p>
        </w:tc>
        <w:tc>
          <w:tcPr>
            <w:tcW w:w="90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No</w:t>
            </w:r>
          </w:p>
        </w:tc>
        <w:tc>
          <w:tcPr>
            <w:tcW w:w="135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CC3B67" w:rsidRPr="007C6A91" w:rsidTr="00E956AA">
        <w:trPr>
          <w:trHeight w:val="270"/>
        </w:trPr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7C6A91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rPr>
                <w:rFonts w:ascii="Arial" w:hAnsi="Arial" w:cs="Arial"/>
                <w:color w:val="000000" w:themeColor="text1"/>
                <w:szCs w:val="20"/>
              </w:rPr>
            </w:pPr>
            <w:proofErr w:type="spellStart"/>
            <w:r w:rsidRPr="007C6A91">
              <w:rPr>
                <w:rFonts w:ascii="Arial" w:hAnsi="Arial" w:cs="Arial"/>
                <w:color w:val="000000" w:themeColor="text1"/>
                <w:szCs w:val="20"/>
              </w:rPr>
              <w:t>SoxR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 w:rsidRPr="007C6A91">
              <w:rPr>
                <w:rFonts w:ascii="Arial" w:hAnsi="Arial" w:cs="Arial"/>
                <w:color w:val="000000" w:themeColor="text1"/>
                <w:szCs w:val="20"/>
              </w:rPr>
              <w:t>No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vAlign w:val="center"/>
          </w:tcPr>
          <w:p w:rsidR="00CC3B67" w:rsidRPr="007C6A91" w:rsidRDefault="00CC3B67" w:rsidP="007A2B00">
            <w:pPr>
              <w:contextualSpacing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04268D" w:rsidRDefault="00501AB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1</w:t>
      </w:r>
      <w:r w:rsidR="00BB5663" w:rsidRPr="007C6A91">
        <w:rPr>
          <w:rFonts w:ascii="Arial" w:hAnsi="Arial" w:cs="Arial"/>
        </w:rPr>
        <w:t xml:space="preserve"> Based on previously published report by Parsonage </w:t>
      </w:r>
      <w:r w:rsidR="00BB5663" w:rsidRPr="007C6A91">
        <w:rPr>
          <w:rFonts w:ascii="Arial" w:hAnsi="Arial" w:cs="Arial"/>
          <w:i/>
        </w:rPr>
        <w:t>et al.</w:t>
      </w:r>
      <w:r w:rsidR="00E02A29">
        <w:rPr>
          <w:rFonts w:ascii="Arial" w:hAnsi="Arial" w:cs="Arial"/>
        </w:rPr>
        <w:t xml:space="preserve"> [67]</w:t>
      </w:r>
    </w:p>
    <w:p w:rsidR="0004268D" w:rsidRDefault="00501AB9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2</w:t>
      </w:r>
      <w:r w:rsidR="007C6A91">
        <w:rPr>
          <w:rFonts w:ascii="Arial" w:hAnsi="Arial" w:cs="Arial"/>
        </w:rPr>
        <w:t xml:space="preserve"> Value in parentheses indicates </w:t>
      </w:r>
      <w:r w:rsidR="00590B00">
        <w:rPr>
          <w:rFonts w:ascii="Arial" w:hAnsi="Arial" w:cs="Arial"/>
        </w:rPr>
        <w:t>number of paralogs</w:t>
      </w:r>
      <w:r w:rsidR="007C6A91">
        <w:rPr>
          <w:rFonts w:ascii="Arial" w:hAnsi="Arial" w:cs="Arial"/>
        </w:rPr>
        <w:t xml:space="preserve"> identified in the respective genome.</w:t>
      </w:r>
    </w:p>
    <w:p w:rsidR="0004268D" w:rsidRDefault="00FA6D4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3</w:t>
      </w:r>
      <w:r w:rsidRPr="00161075">
        <w:rPr>
          <w:rFonts w:ascii="Arial" w:hAnsi="Arial" w:cs="Arial"/>
        </w:rPr>
        <w:t xml:space="preserve"> Mean values per gene from three biological replicates in either DMC or </w:t>
      </w:r>
      <w:r w:rsidR="00D44B90" w:rsidRPr="00E02A29">
        <w:rPr>
          <w:rFonts w:ascii="Arial" w:hAnsi="Arial" w:cs="Arial"/>
          <w:i/>
        </w:rPr>
        <w:t>in vitro</w:t>
      </w:r>
      <w:r w:rsidR="00D44B90">
        <w:rPr>
          <w:rFonts w:ascii="Arial" w:hAnsi="Arial" w:cs="Arial"/>
        </w:rPr>
        <w:t xml:space="preserve"> (</w:t>
      </w:r>
      <w:r w:rsidRPr="00161075">
        <w:rPr>
          <w:rFonts w:ascii="Arial" w:hAnsi="Arial" w:cs="Arial"/>
        </w:rPr>
        <w:t>IV</w:t>
      </w:r>
      <w:r w:rsidR="00D44B90">
        <w:rPr>
          <w:rFonts w:ascii="Arial" w:hAnsi="Arial" w:cs="Arial"/>
        </w:rPr>
        <w:t>)</w:t>
      </w:r>
      <w:r w:rsidRPr="00161075">
        <w:rPr>
          <w:rFonts w:ascii="Arial" w:hAnsi="Arial" w:cs="Arial"/>
        </w:rPr>
        <w:t xml:space="preserve"> conditions (see </w:t>
      </w:r>
      <w:r w:rsidR="00D44B90">
        <w:rPr>
          <w:rFonts w:ascii="Arial" w:hAnsi="Arial" w:cs="Arial"/>
        </w:rPr>
        <w:t>T</w:t>
      </w:r>
      <w:r w:rsidRPr="00161075">
        <w:rPr>
          <w:rFonts w:ascii="Arial" w:hAnsi="Arial" w:cs="Arial"/>
        </w:rPr>
        <w:t xml:space="preserve">able </w:t>
      </w:r>
      <w:r w:rsidR="00372FFD">
        <w:rPr>
          <w:rFonts w:ascii="Arial" w:hAnsi="Arial" w:cs="Arial"/>
        </w:rPr>
        <w:t>S</w:t>
      </w:r>
      <w:r w:rsidRPr="00161075">
        <w:rPr>
          <w:rFonts w:ascii="Arial" w:hAnsi="Arial" w:cs="Arial"/>
        </w:rPr>
        <w:t>2).</w:t>
      </w:r>
    </w:p>
    <w:p w:rsidR="00D44B90" w:rsidRDefault="00FA6D44" w:rsidP="007A2B00">
      <w:pPr>
        <w:spacing w:line="240" w:lineRule="auto"/>
        <w:ind w:left="720" w:hanging="720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4</w:t>
      </w:r>
      <w:r w:rsidRPr="00161075">
        <w:rPr>
          <w:rFonts w:ascii="Arial" w:hAnsi="Arial" w:cs="Arial"/>
        </w:rPr>
        <w:t xml:space="preserve"> Adjusted P-value (see </w:t>
      </w:r>
      <w:r w:rsidR="00D44B90">
        <w:rPr>
          <w:rFonts w:ascii="Arial" w:hAnsi="Arial" w:cs="Arial"/>
        </w:rPr>
        <w:t>T</w:t>
      </w:r>
      <w:r w:rsidRPr="00161075">
        <w:rPr>
          <w:rFonts w:ascii="Arial" w:hAnsi="Arial" w:cs="Arial"/>
        </w:rPr>
        <w:t xml:space="preserve">able </w:t>
      </w:r>
      <w:r w:rsidR="00372FFD">
        <w:rPr>
          <w:rFonts w:ascii="Arial" w:hAnsi="Arial" w:cs="Arial"/>
        </w:rPr>
        <w:t>S</w:t>
      </w:r>
      <w:r w:rsidRPr="00161075">
        <w:rPr>
          <w:rFonts w:ascii="Arial" w:hAnsi="Arial" w:cs="Arial"/>
        </w:rPr>
        <w:t>2).</w:t>
      </w:r>
      <w:proofErr w:type="gramEnd"/>
    </w:p>
    <w:p w:rsidR="005E6462" w:rsidRPr="007C6A91" w:rsidRDefault="005E6462" w:rsidP="00887B2B">
      <w:pPr>
        <w:spacing w:after="0"/>
        <w:contextualSpacing/>
        <w:rPr>
          <w:rFonts w:ascii="Arial" w:hAnsi="Arial" w:cs="Arial"/>
        </w:rPr>
      </w:pPr>
    </w:p>
    <w:sectPr w:rsidR="005E6462" w:rsidRPr="007C6A91" w:rsidSect="002171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5rvwf99rsrez6e2rf3pp2tc0srpe5pzw9xw&quot;&gt;All-Converted&lt;record-ids&gt;&lt;item&gt;1407&lt;/item&gt;&lt;/record-ids&gt;&lt;/item&gt;&lt;/Libraries&gt;"/>
  </w:docVars>
  <w:rsids>
    <w:rsidRoot w:val="004916AB"/>
    <w:rsid w:val="00005329"/>
    <w:rsid w:val="000416CC"/>
    <w:rsid w:val="0004268D"/>
    <w:rsid w:val="000756B3"/>
    <w:rsid w:val="0011761A"/>
    <w:rsid w:val="001324BA"/>
    <w:rsid w:val="001D5964"/>
    <w:rsid w:val="00206F89"/>
    <w:rsid w:val="00217190"/>
    <w:rsid w:val="00282B3A"/>
    <w:rsid w:val="002D472B"/>
    <w:rsid w:val="00372FFD"/>
    <w:rsid w:val="003B2F60"/>
    <w:rsid w:val="003B3090"/>
    <w:rsid w:val="003C3B43"/>
    <w:rsid w:val="004916AB"/>
    <w:rsid w:val="004C4CBE"/>
    <w:rsid w:val="00501AB9"/>
    <w:rsid w:val="00590B00"/>
    <w:rsid w:val="005A74C4"/>
    <w:rsid w:val="005B6E88"/>
    <w:rsid w:val="005E6462"/>
    <w:rsid w:val="00660785"/>
    <w:rsid w:val="006F317C"/>
    <w:rsid w:val="00723483"/>
    <w:rsid w:val="007A2B00"/>
    <w:rsid w:val="007C6A91"/>
    <w:rsid w:val="00835136"/>
    <w:rsid w:val="00872C7F"/>
    <w:rsid w:val="00887B2B"/>
    <w:rsid w:val="008A504B"/>
    <w:rsid w:val="008C402B"/>
    <w:rsid w:val="008D09D4"/>
    <w:rsid w:val="00905636"/>
    <w:rsid w:val="00922F65"/>
    <w:rsid w:val="00990885"/>
    <w:rsid w:val="00A33082"/>
    <w:rsid w:val="00A538A9"/>
    <w:rsid w:val="00AA4E04"/>
    <w:rsid w:val="00AD0904"/>
    <w:rsid w:val="00B1505B"/>
    <w:rsid w:val="00B44A40"/>
    <w:rsid w:val="00B918E2"/>
    <w:rsid w:val="00BA4600"/>
    <w:rsid w:val="00BB5663"/>
    <w:rsid w:val="00BC4510"/>
    <w:rsid w:val="00C0207F"/>
    <w:rsid w:val="00C32502"/>
    <w:rsid w:val="00CC3B67"/>
    <w:rsid w:val="00CE5059"/>
    <w:rsid w:val="00D44B90"/>
    <w:rsid w:val="00DD0CDC"/>
    <w:rsid w:val="00E02A29"/>
    <w:rsid w:val="00E06AED"/>
    <w:rsid w:val="00E16FBC"/>
    <w:rsid w:val="00E5491B"/>
    <w:rsid w:val="00E956AA"/>
    <w:rsid w:val="00EC0A17"/>
    <w:rsid w:val="00ED7CEF"/>
    <w:rsid w:val="00F13E7A"/>
    <w:rsid w:val="00F654DA"/>
    <w:rsid w:val="00F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56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2</cp:revision>
  <cp:lastPrinted>2013-07-31T22:22:00Z</cp:lastPrinted>
  <dcterms:created xsi:type="dcterms:W3CDTF">2014-02-11T15:07:00Z</dcterms:created>
  <dcterms:modified xsi:type="dcterms:W3CDTF">2014-02-11T15:07:00Z</dcterms:modified>
</cp:coreProperties>
</file>