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6A81" w14:textId="77F68347" w:rsidR="00650CB4" w:rsidRPr="00110466" w:rsidRDefault="00316963" w:rsidP="00E34502">
      <w:pPr>
        <w:ind w:left="2160" w:firstLine="720"/>
        <w:jc w:val="both"/>
        <w:rPr>
          <w:b/>
        </w:rPr>
      </w:pPr>
      <w:r w:rsidRPr="00110466">
        <w:rPr>
          <w:b/>
        </w:rPr>
        <w:t>SUPPLEMENTARY MATERIAL</w:t>
      </w:r>
    </w:p>
    <w:p w14:paraId="08B4BA12" w14:textId="77777777" w:rsidR="00650CB4" w:rsidRPr="00110466" w:rsidRDefault="00650CB4" w:rsidP="001C1502">
      <w:pPr>
        <w:jc w:val="both"/>
      </w:pPr>
    </w:p>
    <w:p w14:paraId="57F4E3E6" w14:textId="77777777" w:rsidR="00BA36FA" w:rsidRPr="00110466" w:rsidRDefault="00BA36FA" w:rsidP="001C1502">
      <w:pPr>
        <w:jc w:val="both"/>
        <w:rPr>
          <w:b/>
        </w:rPr>
      </w:pPr>
    </w:p>
    <w:p w14:paraId="18530AE6" w14:textId="51F7E00C" w:rsidR="00650CB4" w:rsidRPr="00110466" w:rsidRDefault="00E34502" w:rsidP="001C1502">
      <w:pPr>
        <w:jc w:val="both"/>
        <w:rPr>
          <w:b/>
        </w:rPr>
      </w:pPr>
      <w:r w:rsidRPr="00110466">
        <w:rPr>
          <w:b/>
        </w:rPr>
        <w:t>METHODS</w:t>
      </w:r>
    </w:p>
    <w:p w14:paraId="44D5E289" w14:textId="77777777" w:rsidR="00650CB4" w:rsidRPr="00110466" w:rsidRDefault="00650CB4" w:rsidP="001C1502">
      <w:pPr>
        <w:jc w:val="both"/>
        <w:rPr>
          <w:b/>
          <w:i/>
          <w:iCs/>
        </w:rPr>
      </w:pPr>
    </w:p>
    <w:p w14:paraId="5C607876" w14:textId="77777777" w:rsidR="001C1502" w:rsidRPr="00110466" w:rsidRDefault="00650CB4" w:rsidP="00316963">
      <w:pPr>
        <w:spacing w:line="480" w:lineRule="auto"/>
        <w:jc w:val="both"/>
        <w:rPr>
          <w:b/>
          <w:iCs/>
        </w:rPr>
      </w:pPr>
      <w:r w:rsidRPr="00110466">
        <w:rPr>
          <w:b/>
          <w:iCs/>
        </w:rPr>
        <w:t>Analysis of disulfide binding in TR4</w:t>
      </w:r>
    </w:p>
    <w:p w14:paraId="7BFA26C6" w14:textId="1409B303" w:rsidR="001C1502" w:rsidRPr="00110466" w:rsidRDefault="009F084C" w:rsidP="00E34502">
      <w:pPr>
        <w:spacing w:line="480" w:lineRule="auto"/>
      </w:pPr>
      <w:r w:rsidRPr="00110466">
        <w:t>“In Liquid</w:t>
      </w:r>
      <w:r w:rsidR="001C1502" w:rsidRPr="00110466">
        <w:t xml:space="preserve">” digestion and mass spectrometric analysis was done at the Mass Spectrometry Facility [Biotechnology Center, University of Wisconsin-Madison]. In short, </w:t>
      </w:r>
      <w:r w:rsidR="000B40A3" w:rsidRPr="00110466">
        <w:t>5</w:t>
      </w:r>
      <w:r w:rsidR="008A1D25" w:rsidRPr="00110466">
        <w:t>µg</w:t>
      </w:r>
      <w:r w:rsidR="005E0829" w:rsidRPr="00110466">
        <w:t xml:space="preserve"> [15</w:t>
      </w:r>
      <w:r w:rsidR="000B40A3" w:rsidRPr="00110466">
        <w:t>µl]</w:t>
      </w:r>
      <w:r w:rsidR="008A1D25" w:rsidRPr="00110466">
        <w:t xml:space="preserve"> of purified protein</w:t>
      </w:r>
      <w:r w:rsidR="005E0829" w:rsidRPr="00110466">
        <w:t xml:space="preserve"> in 125mM NH</w:t>
      </w:r>
      <w:r w:rsidR="005E0829" w:rsidRPr="00110466">
        <w:rPr>
          <w:vertAlign w:val="subscript"/>
        </w:rPr>
        <w:t>4</w:t>
      </w:r>
      <w:r w:rsidR="005E0829" w:rsidRPr="00110466">
        <w:t>HCO</w:t>
      </w:r>
      <w:r w:rsidR="005E0829" w:rsidRPr="00110466">
        <w:rPr>
          <w:vertAlign w:val="subscript"/>
        </w:rPr>
        <w:t>3</w:t>
      </w:r>
      <w:r w:rsidR="008A1D25" w:rsidRPr="00110466">
        <w:t xml:space="preserve"> </w:t>
      </w:r>
      <w:r w:rsidR="005E0829" w:rsidRPr="00110466">
        <w:t xml:space="preserve">[pH 8.5] </w:t>
      </w:r>
      <w:r w:rsidR="00AE0962" w:rsidRPr="00110466">
        <w:t>was</w:t>
      </w:r>
      <w:r w:rsidR="000B40A3" w:rsidRPr="00110466">
        <w:t xml:space="preserve"> reduced with </w:t>
      </w:r>
      <w:r w:rsidR="005E0829" w:rsidRPr="00110466">
        <w:t>5</w:t>
      </w:r>
      <w:r w:rsidR="002667C7" w:rsidRPr="00110466">
        <w:t>ul of 25</w:t>
      </w:r>
      <w:r w:rsidR="005E0829" w:rsidRPr="00110466">
        <w:t>0</w:t>
      </w:r>
      <w:r w:rsidR="002667C7" w:rsidRPr="00110466">
        <w:t>mM</w:t>
      </w:r>
      <w:r w:rsidR="000B40A3" w:rsidRPr="00110466">
        <w:t xml:space="preserve"> DTT</w:t>
      </w:r>
      <w:r w:rsidR="002667C7" w:rsidRPr="00110466">
        <w:t xml:space="preserve"> [</w:t>
      </w:r>
      <w:r w:rsidR="005E0829" w:rsidRPr="00110466">
        <w:t>62.</w:t>
      </w:r>
      <w:r w:rsidR="002667C7" w:rsidRPr="00110466">
        <w:t>5mM final]</w:t>
      </w:r>
      <w:r w:rsidR="005E0829" w:rsidRPr="00110466">
        <w:t xml:space="preserve"> for 30</w:t>
      </w:r>
      <w:r w:rsidR="000B40A3" w:rsidRPr="00110466">
        <w:t xml:space="preserve"> minutes at 55</w:t>
      </w:r>
      <w:r w:rsidR="000B40A3" w:rsidRPr="00110466">
        <w:rPr>
          <w:rFonts w:ascii="Calibri" w:hAnsi="Calibri" w:cs="Calibri"/>
        </w:rPr>
        <w:t>⁰</w:t>
      </w:r>
      <w:r w:rsidR="000B40A3" w:rsidRPr="00110466">
        <w:t xml:space="preserve">C, </w:t>
      </w:r>
      <w:r w:rsidR="00AE0962" w:rsidRPr="00110466">
        <w:t xml:space="preserve">and </w:t>
      </w:r>
      <w:r w:rsidR="000B40A3" w:rsidRPr="00110466">
        <w:t>another 5</w:t>
      </w:r>
      <w:r w:rsidR="002667C7" w:rsidRPr="00110466">
        <w:t>µ</w:t>
      </w:r>
      <w:r w:rsidR="000B40A3" w:rsidRPr="00110466">
        <w:t>g</w:t>
      </w:r>
      <w:r w:rsidR="002667C7" w:rsidRPr="00110466">
        <w:t xml:space="preserve"> sample</w:t>
      </w:r>
      <w:r w:rsidR="000B40A3" w:rsidRPr="00110466">
        <w:t xml:space="preserve"> </w:t>
      </w:r>
      <w:r w:rsidR="00AE0962" w:rsidRPr="00110466">
        <w:t xml:space="preserve">was </w:t>
      </w:r>
      <w:r w:rsidR="000B40A3" w:rsidRPr="00110466">
        <w:t>left</w:t>
      </w:r>
      <w:r w:rsidR="002667C7" w:rsidRPr="00110466">
        <w:t xml:space="preserve"> on ice</w:t>
      </w:r>
      <w:r w:rsidR="000B40A3" w:rsidRPr="00110466">
        <w:t xml:space="preserve"> </w:t>
      </w:r>
      <w:r w:rsidR="002667C7" w:rsidRPr="00110466">
        <w:t>in its native state as a control.</w:t>
      </w:r>
      <w:r w:rsidR="000B40A3" w:rsidRPr="00110466">
        <w:t xml:space="preserve"> </w:t>
      </w:r>
      <w:r w:rsidR="002667C7" w:rsidRPr="00110466">
        <w:t>Post reduction</w:t>
      </w:r>
      <w:r w:rsidR="00AE0962" w:rsidRPr="00110466">
        <w:t>,</w:t>
      </w:r>
      <w:r w:rsidR="002667C7" w:rsidRPr="00110466">
        <w:t xml:space="preserve"> both treated and control samples were </w:t>
      </w:r>
      <w:r w:rsidR="005E0829" w:rsidRPr="00110466">
        <w:t xml:space="preserve">spun through Pierce detergent removal columns [Thermo Scientific] to remove </w:t>
      </w:r>
      <w:r w:rsidR="00AE0962" w:rsidRPr="00110466">
        <w:t xml:space="preserve">the </w:t>
      </w:r>
      <w:r w:rsidR="005E0829" w:rsidRPr="00110466">
        <w:t xml:space="preserve">majority of DTT from </w:t>
      </w:r>
      <w:r w:rsidR="00AE0962" w:rsidRPr="00110466">
        <w:t xml:space="preserve">the </w:t>
      </w:r>
      <w:r w:rsidR="005E0829" w:rsidRPr="00110466">
        <w:t xml:space="preserve">reduced sample. </w:t>
      </w:r>
      <w:r w:rsidR="00AE0962" w:rsidRPr="00110466">
        <w:t>Samples were s</w:t>
      </w:r>
      <w:r w:rsidR="00F01629" w:rsidRPr="00110466">
        <w:t xml:space="preserve">ubsequently </w:t>
      </w:r>
      <w:r w:rsidR="002F68B0" w:rsidRPr="00110466">
        <w:t xml:space="preserve">denatured </w:t>
      </w:r>
      <w:r w:rsidR="000B40A3" w:rsidRPr="00110466">
        <w:t>with</w:t>
      </w:r>
      <w:r w:rsidR="002F68B0" w:rsidRPr="00110466">
        <w:t xml:space="preserve"> </w:t>
      </w:r>
      <w:r w:rsidR="008A1D25" w:rsidRPr="00110466">
        <w:t>10</w:t>
      </w:r>
      <w:r w:rsidR="001C1502" w:rsidRPr="00110466">
        <w:t xml:space="preserve">μl of </w:t>
      </w:r>
      <w:r w:rsidR="00E11572" w:rsidRPr="00110466">
        <w:t>8</w:t>
      </w:r>
      <w:r w:rsidR="002F68B0" w:rsidRPr="00110466">
        <w:t>M Urea</w:t>
      </w:r>
      <w:r w:rsidR="00F01629" w:rsidRPr="00110466">
        <w:t xml:space="preserve"> and</w:t>
      </w:r>
      <w:r w:rsidR="002F68B0" w:rsidRPr="00110466">
        <w:t xml:space="preserve"> diluted to </w:t>
      </w:r>
      <w:r w:rsidR="008A1D25" w:rsidRPr="00110466">
        <w:t>50</w:t>
      </w:r>
      <w:r w:rsidR="002F68B0" w:rsidRPr="00110466">
        <w:t>μl</w:t>
      </w:r>
      <w:r w:rsidR="002667C7" w:rsidRPr="00110466">
        <w:t xml:space="preserve"> for </w:t>
      </w:r>
      <w:proofErr w:type="spellStart"/>
      <w:r w:rsidR="002667C7" w:rsidRPr="00110466">
        <w:t>tryptic</w:t>
      </w:r>
      <w:proofErr w:type="spellEnd"/>
      <w:r w:rsidR="002667C7" w:rsidRPr="00110466">
        <w:t xml:space="preserve"> digestion with: </w:t>
      </w:r>
      <w:r w:rsidR="008A1D25" w:rsidRPr="00110466">
        <w:t>2.</w:t>
      </w:r>
      <w:r w:rsidR="00B1700B" w:rsidRPr="00110466">
        <w:t>5</w:t>
      </w:r>
      <w:r w:rsidR="002F68B0" w:rsidRPr="00110466">
        <w:t xml:space="preserve">μl </w:t>
      </w:r>
      <w:r w:rsidR="00826099" w:rsidRPr="00110466">
        <w:t>ACN</w:t>
      </w:r>
      <w:r w:rsidR="002F68B0" w:rsidRPr="00110466">
        <w:t xml:space="preserve">, </w:t>
      </w:r>
      <w:r w:rsidR="00F01629" w:rsidRPr="00110466">
        <w:t xml:space="preserve">7.5μl </w:t>
      </w:r>
      <w:r w:rsidR="00147B2E" w:rsidRPr="00110466">
        <w:t xml:space="preserve">of 0.2% </w:t>
      </w:r>
      <w:proofErr w:type="spellStart"/>
      <w:r w:rsidR="00147B2E" w:rsidRPr="00110466">
        <w:t>ProteaseMAX</w:t>
      </w:r>
      <w:proofErr w:type="spellEnd"/>
      <w:r w:rsidR="005264E0" w:rsidRPr="00110466">
        <w:t>™</w:t>
      </w:r>
      <w:r w:rsidR="00147B2E" w:rsidRPr="00110466">
        <w:t xml:space="preserve"> </w:t>
      </w:r>
      <w:r w:rsidR="00AE0962" w:rsidRPr="00110466">
        <w:t>(</w:t>
      </w:r>
      <w:proofErr w:type="spellStart"/>
      <w:r w:rsidR="00147B2E" w:rsidRPr="00110466">
        <w:t>Promega</w:t>
      </w:r>
      <w:proofErr w:type="spellEnd"/>
      <w:r w:rsidR="00147B2E" w:rsidRPr="00110466">
        <w:t xml:space="preserve"> Corp.</w:t>
      </w:r>
      <w:r w:rsidR="00AE0962" w:rsidRPr="00110466">
        <w:t>)</w:t>
      </w:r>
      <w:r w:rsidR="00147B2E" w:rsidRPr="00110466">
        <w:t xml:space="preserve">, </w:t>
      </w:r>
      <w:r w:rsidR="00F01629" w:rsidRPr="00110466">
        <w:t>5</w:t>
      </w:r>
      <w:r w:rsidR="00552FF8" w:rsidRPr="00110466">
        <w:t xml:space="preserve">μl </w:t>
      </w:r>
      <w:r w:rsidR="00E11572" w:rsidRPr="00110466">
        <w:t>25mM NH</w:t>
      </w:r>
      <w:r w:rsidR="00E11572" w:rsidRPr="00110466">
        <w:rPr>
          <w:vertAlign w:val="subscript"/>
        </w:rPr>
        <w:t>4</w:t>
      </w:r>
      <w:r w:rsidR="00E11572" w:rsidRPr="00110466">
        <w:t>HCO</w:t>
      </w:r>
      <w:r w:rsidR="00E11572" w:rsidRPr="00110466">
        <w:rPr>
          <w:vertAlign w:val="subscript"/>
        </w:rPr>
        <w:t>3</w:t>
      </w:r>
      <w:r w:rsidR="00826099" w:rsidRPr="00110466">
        <w:t xml:space="preserve"> </w:t>
      </w:r>
      <w:r w:rsidR="00AE0962" w:rsidRPr="00110466">
        <w:t>(</w:t>
      </w:r>
      <w:r w:rsidR="002667C7" w:rsidRPr="00110466">
        <w:t>pH 8.5</w:t>
      </w:r>
      <w:r w:rsidR="00AE0962" w:rsidRPr="00110466">
        <w:t>)</w:t>
      </w:r>
      <w:r w:rsidR="002667C7" w:rsidRPr="00110466">
        <w:t xml:space="preserve"> </w:t>
      </w:r>
      <w:r w:rsidR="00552FF8" w:rsidRPr="00110466">
        <w:t xml:space="preserve">and </w:t>
      </w:r>
      <w:r w:rsidR="005264E0" w:rsidRPr="00110466">
        <w:t>5</w:t>
      </w:r>
      <w:r w:rsidR="00552FF8" w:rsidRPr="00110466">
        <w:t xml:space="preserve">μl </w:t>
      </w:r>
      <w:r w:rsidR="001C1502" w:rsidRPr="00110466">
        <w:t xml:space="preserve">trypsin solution </w:t>
      </w:r>
      <w:r w:rsidR="00AE0962" w:rsidRPr="00110466">
        <w:t>(</w:t>
      </w:r>
      <w:r w:rsidR="00826099" w:rsidRPr="00110466">
        <w:t>1</w:t>
      </w:r>
      <w:r w:rsidR="001C1502" w:rsidRPr="00110466">
        <w:t>0ng/</w:t>
      </w:r>
      <w:proofErr w:type="spellStart"/>
      <w:r w:rsidR="001C1502" w:rsidRPr="00110466">
        <w:t>μl</w:t>
      </w:r>
      <w:proofErr w:type="spellEnd"/>
      <w:r w:rsidR="001C1502" w:rsidRPr="00110466">
        <w:t xml:space="preserve"> </w:t>
      </w:r>
      <w:r w:rsidR="001C1502" w:rsidRPr="00110466">
        <w:rPr>
          <w:i/>
          <w:iCs/>
        </w:rPr>
        <w:t>Trypsin Gold</w:t>
      </w:r>
      <w:r w:rsidR="00552FF8" w:rsidRPr="00110466">
        <w:t xml:space="preserve"> from PROMEGA Corp.</w:t>
      </w:r>
      <w:r w:rsidR="001C1502" w:rsidRPr="00110466">
        <w:t xml:space="preserve"> in 25mM NH</w:t>
      </w:r>
      <w:r w:rsidR="001C1502" w:rsidRPr="00110466">
        <w:rPr>
          <w:vertAlign w:val="subscript"/>
        </w:rPr>
        <w:t>4</w:t>
      </w:r>
      <w:r w:rsidR="001C1502" w:rsidRPr="00110466">
        <w:t>HCO</w:t>
      </w:r>
      <w:r w:rsidR="001C1502" w:rsidRPr="00110466">
        <w:rPr>
          <w:vertAlign w:val="subscript"/>
        </w:rPr>
        <w:t>3</w:t>
      </w:r>
      <w:r w:rsidR="00AE0962" w:rsidRPr="00110466">
        <w:t>)</w:t>
      </w:r>
      <w:r w:rsidR="00552FF8" w:rsidRPr="00110466">
        <w:t xml:space="preserve">. </w:t>
      </w:r>
      <w:r w:rsidR="0012126F" w:rsidRPr="00110466">
        <w:t>D</w:t>
      </w:r>
      <w:r w:rsidR="001C1502" w:rsidRPr="00110466">
        <w:t xml:space="preserve">igestion was conducted </w:t>
      </w:r>
      <w:r w:rsidR="005264E0" w:rsidRPr="00110466">
        <w:t>for 60 minutes at 40</w:t>
      </w:r>
      <w:r w:rsidR="00433BEB" w:rsidRPr="00110466">
        <w:t>°C</w:t>
      </w:r>
      <w:r w:rsidR="00AE0962" w:rsidRPr="00110466">
        <w:t>,</w:t>
      </w:r>
      <w:r w:rsidR="00433BEB" w:rsidRPr="00110466">
        <w:t xml:space="preserve"> then</w:t>
      </w:r>
      <w:r w:rsidR="00AE0962" w:rsidRPr="00110466">
        <w:t xml:space="preserve"> an</w:t>
      </w:r>
      <w:r w:rsidR="00433BEB" w:rsidRPr="00110466">
        <w:t xml:space="preserve"> additional 2</w:t>
      </w:r>
      <w:r w:rsidR="005264E0" w:rsidRPr="00110466">
        <w:t>.5</w:t>
      </w:r>
      <w:r w:rsidR="008A1D25" w:rsidRPr="00110466">
        <w:t xml:space="preserve">µl of trypsin solution </w:t>
      </w:r>
      <w:r w:rsidR="00AE0962" w:rsidRPr="00110466">
        <w:t xml:space="preserve">was </w:t>
      </w:r>
      <w:r w:rsidR="008A1D25" w:rsidRPr="00110466">
        <w:t>a</w:t>
      </w:r>
      <w:r w:rsidR="005264E0" w:rsidRPr="00110466">
        <w:t xml:space="preserve">dded </w:t>
      </w:r>
      <w:r w:rsidR="00AE0962" w:rsidRPr="00110466">
        <w:t>(</w:t>
      </w:r>
      <w:r w:rsidR="005264E0" w:rsidRPr="00110466">
        <w:t xml:space="preserve">final </w:t>
      </w:r>
      <w:proofErr w:type="spellStart"/>
      <w:r w:rsidR="005264E0" w:rsidRPr="00110466">
        <w:t>enzyme</w:t>
      </w:r>
      <w:proofErr w:type="gramStart"/>
      <w:r w:rsidR="005264E0" w:rsidRPr="00110466">
        <w:t>:substrate</w:t>
      </w:r>
      <w:proofErr w:type="spellEnd"/>
      <w:proofErr w:type="gramEnd"/>
      <w:r w:rsidR="005264E0" w:rsidRPr="00110466">
        <w:t xml:space="preserve"> 1:67</w:t>
      </w:r>
      <w:r w:rsidR="00AE0962" w:rsidRPr="00110466">
        <w:t>)</w:t>
      </w:r>
      <w:r w:rsidR="008A1D25" w:rsidRPr="00110466">
        <w:t xml:space="preserve"> and digestion proceeded </w:t>
      </w:r>
      <w:r w:rsidR="005264E0" w:rsidRPr="00110466">
        <w:t>overnight</w:t>
      </w:r>
      <w:r w:rsidR="00E11572" w:rsidRPr="00110466">
        <w:t xml:space="preserve"> </w:t>
      </w:r>
      <w:r w:rsidR="005264E0" w:rsidRPr="00110466">
        <w:t>at 37</w:t>
      </w:r>
      <w:r w:rsidR="00E11572" w:rsidRPr="00110466">
        <w:t>°C</w:t>
      </w:r>
      <w:r w:rsidR="0012126F" w:rsidRPr="00110466">
        <w:t xml:space="preserve">. </w:t>
      </w:r>
      <w:r w:rsidR="00AE0962" w:rsidRPr="00110466">
        <w:t>The r</w:t>
      </w:r>
      <w:r w:rsidR="0012126F" w:rsidRPr="00110466">
        <w:t xml:space="preserve">eaction was terminated </w:t>
      </w:r>
      <w:r w:rsidR="001C1502" w:rsidRPr="00110466">
        <w:t xml:space="preserve">by acidification with 2.5% TFA </w:t>
      </w:r>
      <w:r w:rsidR="00AE0962" w:rsidRPr="00110466">
        <w:t>(</w:t>
      </w:r>
      <w:proofErr w:type="spellStart"/>
      <w:r w:rsidR="001C1502" w:rsidRPr="00110466">
        <w:t>Trifluoroacetic</w:t>
      </w:r>
      <w:proofErr w:type="spellEnd"/>
      <w:r w:rsidR="001C1502" w:rsidRPr="00110466">
        <w:t xml:space="preserve"> Acid</w:t>
      </w:r>
      <w:r w:rsidR="00AE0962" w:rsidRPr="00110466">
        <w:t>)</w:t>
      </w:r>
      <w:r w:rsidR="00E11572" w:rsidRPr="00110466">
        <w:t xml:space="preserve"> to 0.3</w:t>
      </w:r>
      <w:r w:rsidR="001C1502" w:rsidRPr="00110466">
        <w:t>% final</w:t>
      </w:r>
      <w:r w:rsidR="00A17FF5" w:rsidRPr="00110466">
        <w:t>. D</w:t>
      </w:r>
      <w:r w:rsidR="005264E0" w:rsidRPr="00110466">
        <w:t xml:space="preserve">egraded </w:t>
      </w:r>
      <w:proofErr w:type="spellStart"/>
      <w:r w:rsidR="005264E0" w:rsidRPr="00110466">
        <w:t>ProteaseMAX</w:t>
      </w:r>
      <w:proofErr w:type="spellEnd"/>
      <w:r w:rsidR="005264E0" w:rsidRPr="00110466">
        <w:t xml:space="preserve">™ was removed via centrifugation </w:t>
      </w:r>
      <w:r w:rsidR="00AE0962" w:rsidRPr="00110466">
        <w:t>(</w:t>
      </w:r>
      <w:r w:rsidR="005264E0" w:rsidRPr="00110466">
        <w:t>max speed, 10minutes</w:t>
      </w:r>
      <w:r w:rsidR="00AE0962" w:rsidRPr="00110466">
        <w:t>)</w:t>
      </w:r>
      <w:r w:rsidR="005264E0" w:rsidRPr="00110466">
        <w:t xml:space="preserve"> and the peptides loaded directly on LC/MSD TOF </w:t>
      </w:r>
      <w:r w:rsidR="00AE0962" w:rsidRPr="00110466">
        <w:t>(</w:t>
      </w:r>
      <w:r w:rsidR="005264E0" w:rsidRPr="00110466">
        <w:t>Agilent Technologies</w:t>
      </w:r>
      <w:r w:rsidR="00AE0962" w:rsidRPr="00110466">
        <w:t>)</w:t>
      </w:r>
      <w:r w:rsidR="005264E0" w:rsidRPr="00110466">
        <w:t xml:space="preserve"> or solid phase extracted </w:t>
      </w:r>
      <w:r w:rsidR="00AE0962" w:rsidRPr="00110466">
        <w:t>(</w:t>
      </w:r>
      <w:proofErr w:type="spellStart"/>
      <w:r w:rsidR="005264E0" w:rsidRPr="00110466">
        <w:rPr>
          <w:i/>
        </w:rPr>
        <w:t>ZipTip</w:t>
      </w:r>
      <w:proofErr w:type="spellEnd"/>
      <w:r w:rsidR="005264E0" w:rsidRPr="00110466">
        <w:rPr>
          <w:i/>
          <w:vertAlign w:val="superscript"/>
        </w:rPr>
        <w:t>®</w:t>
      </w:r>
      <w:r w:rsidR="005264E0" w:rsidRPr="00110466">
        <w:rPr>
          <w:i/>
        </w:rPr>
        <w:t xml:space="preserve"> </w:t>
      </w:r>
      <w:r w:rsidR="005264E0" w:rsidRPr="00110466">
        <w:rPr>
          <w:i/>
          <w:iCs/>
        </w:rPr>
        <w:t xml:space="preserve">C18 </w:t>
      </w:r>
      <w:r w:rsidR="005264E0" w:rsidRPr="00110466">
        <w:t>pipette tips, Millipore</w:t>
      </w:r>
      <w:r w:rsidR="00AE0962" w:rsidRPr="00110466">
        <w:t>)</w:t>
      </w:r>
      <w:r w:rsidR="005264E0" w:rsidRPr="00110466">
        <w:t xml:space="preserve"> and analyzed on MALDI TOF/TOF </w:t>
      </w:r>
      <w:r w:rsidR="00AE0962" w:rsidRPr="00110466">
        <w:t>(</w:t>
      </w:r>
      <w:r w:rsidR="005264E0" w:rsidRPr="00110466">
        <w:t>AB SCIEX</w:t>
      </w:r>
      <w:r w:rsidR="00AE0962" w:rsidRPr="00110466">
        <w:t>)</w:t>
      </w:r>
      <w:r w:rsidR="005264E0" w:rsidRPr="00110466">
        <w:t>.</w:t>
      </w:r>
    </w:p>
    <w:p w14:paraId="46AE66F3" w14:textId="77777777" w:rsidR="005264E0" w:rsidRPr="00110466" w:rsidRDefault="005264E0" w:rsidP="00E34502"/>
    <w:p w14:paraId="2BB05D35" w14:textId="77777777" w:rsidR="005264E0" w:rsidRPr="00110466" w:rsidRDefault="005264E0" w:rsidP="00E34502">
      <w:pPr>
        <w:spacing w:line="480" w:lineRule="auto"/>
        <w:rPr>
          <w:b/>
        </w:rPr>
      </w:pPr>
      <w:r w:rsidRPr="00110466">
        <w:rPr>
          <w:b/>
        </w:rPr>
        <w:t>MALDI TOF/TOF Analysis</w:t>
      </w:r>
    </w:p>
    <w:p w14:paraId="27F4876F" w14:textId="32D8C3DC" w:rsidR="005264E0" w:rsidRPr="00110466" w:rsidRDefault="005264E0" w:rsidP="00E34502">
      <w:pPr>
        <w:spacing w:line="480" w:lineRule="auto"/>
      </w:pPr>
      <w:r w:rsidRPr="00110466">
        <w:t>Peptides were eluted off the C18 column with 1ul of acetonitrile/H</w:t>
      </w:r>
      <w:r w:rsidRPr="00110466">
        <w:rPr>
          <w:vertAlign w:val="subscript"/>
        </w:rPr>
        <w:t>2</w:t>
      </w:r>
      <w:r w:rsidRPr="00110466">
        <w:t>O/TFA (60%</w:t>
      </w:r>
      <w:proofErr w:type="gramStart"/>
      <w:r w:rsidRPr="00110466">
        <w:t>:40</w:t>
      </w:r>
      <w:proofErr w:type="gramEnd"/>
      <w:r w:rsidRPr="00110466">
        <w:t xml:space="preserve">%:0.1%) into 0.5ml Protein </w:t>
      </w:r>
      <w:proofErr w:type="spellStart"/>
      <w:r w:rsidRPr="00110466">
        <w:t>LoBind</w:t>
      </w:r>
      <w:proofErr w:type="spellEnd"/>
      <w:r w:rsidRPr="00110466">
        <w:t xml:space="preserve"> tube (</w:t>
      </w:r>
      <w:proofErr w:type="spellStart"/>
      <w:r w:rsidRPr="00110466">
        <w:t>Eppendorf</w:t>
      </w:r>
      <w:proofErr w:type="spellEnd"/>
      <w:r w:rsidRPr="00110466">
        <w:t xml:space="preserve">), </w:t>
      </w:r>
      <w:r w:rsidR="00AE0962" w:rsidRPr="00110466">
        <w:t xml:space="preserve">and </w:t>
      </w:r>
      <w:r w:rsidRPr="00110466">
        <w:t xml:space="preserve">0.5ul was deposited onto the </w:t>
      </w:r>
      <w:proofErr w:type="spellStart"/>
      <w:r w:rsidRPr="00110466">
        <w:t>Opti</w:t>
      </w:r>
      <w:proofErr w:type="spellEnd"/>
      <w:r w:rsidRPr="00110466">
        <w:t>-TOF™ 384 Well plate  (</w:t>
      </w:r>
      <w:r w:rsidR="008C1773" w:rsidRPr="00110466">
        <w:t>AB SCIEX</w:t>
      </w:r>
      <w:r w:rsidRPr="00110466">
        <w:t xml:space="preserve">) and re-crystalized with 0.5µl of matrix </w:t>
      </w:r>
      <w:r w:rsidR="00AE0962" w:rsidRPr="00110466">
        <w:t>(</w:t>
      </w:r>
      <w:r w:rsidRPr="00110466">
        <w:t>10mg/ml α-Cyano-</w:t>
      </w:r>
      <w:r w:rsidRPr="00110466">
        <w:lastRenderedPageBreak/>
        <w:t>4hydroxycinnamic acid in acetonitrile/H</w:t>
      </w:r>
      <w:r w:rsidRPr="00110466">
        <w:rPr>
          <w:vertAlign w:val="subscript"/>
        </w:rPr>
        <w:t>2</w:t>
      </w:r>
      <w:r w:rsidRPr="00110466">
        <w:t xml:space="preserve">O/TFA </w:t>
      </w:r>
      <w:r w:rsidR="00AE0962" w:rsidRPr="00110466">
        <w:t>[</w:t>
      </w:r>
      <w:r w:rsidRPr="00110466">
        <w:t>75%:25%:0.1%</w:t>
      </w:r>
      <w:r w:rsidR="00AE0962" w:rsidRPr="00110466">
        <w:t>])</w:t>
      </w:r>
      <w:r w:rsidRPr="00110466">
        <w:t xml:space="preserve">. Peptide Map Fingerprint result-dependent MS/MS analysis was performed on a 4800 Matrix-Assisted Laser Desorption/Ionization-Time of Flight-Time of Flight (MALDI TOF-TOF) mass spectrometer (AB SCIEX). In short, peptide fingerprint was generated scanning 700-4,000 Da mass range using 1000 shots acquired from 20 randomized regions of the sample spot at 4000 intensity of </w:t>
      </w:r>
      <w:proofErr w:type="spellStart"/>
      <w:r w:rsidRPr="00110466">
        <w:t>OptiBeam</w:t>
      </w:r>
      <w:proofErr w:type="spellEnd"/>
      <w:r w:rsidRPr="00110466">
        <w:t xml:space="preserve">™ on-axis </w:t>
      </w:r>
      <w:proofErr w:type="spellStart"/>
      <w:r w:rsidRPr="00110466">
        <w:t>Nd</w:t>
      </w:r>
      <w:proofErr w:type="gramStart"/>
      <w:r w:rsidRPr="00110466">
        <w:t>:YAG</w:t>
      </w:r>
      <w:proofErr w:type="spellEnd"/>
      <w:proofErr w:type="gramEnd"/>
      <w:r w:rsidRPr="00110466">
        <w:t xml:space="preserve"> laser with 200Hz firing rate and 3 to 7ns pulse width in positive </w:t>
      </w:r>
      <w:proofErr w:type="spellStart"/>
      <w:r w:rsidRPr="00110466">
        <w:t>reflectron</w:t>
      </w:r>
      <w:proofErr w:type="spellEnd"/>
      <w:r w:rsidRPr="00110466">
        <w:t xml:space="preserve"> mode. Fifteen most abundant precursors, excluding trypsin autolysis peptides and sodium/potassium adducts, were selected for subsequent tandem MS analysis where 1200 total shots were taken with 4400 laser intensity and </w:t>
      </w:r>
      <w:r w:rsidR="008C1773" w:rsidRPr="00110466">
        <w:t>1.5</w:t>
      </w:r>
      <w:r w:rsidRPr="00110466">
        <w:t xml:space="preserve"> kV collision induced </w:t>
      </w:r>
      <w:r w:rsidR="008C1773" w:rsidRPr="00110466">
        <w:t>dissociation</w:t>
      </w:r>
      <w:r w:rsidRPr="00110466">
        <w:t xml:space="preserve"> (CID) using air. Post-source decay (PSD) fragments from the precursors of interest were isolated by timed-ion selection and reaccelerated into the </w:t>
      </w:r>
      <w:proofErr w:type="spellStart"/>
      <w:r w:rsidRPr="00110466">
        <w:t>reflectron</w:t>
      </w:r>
      <w:proofErr w:type="spellEnd"/>
      <w:r w:rsidRPr="00110466">
        <w:t xml:space="preserve"> to generate the MS/MS spectrum. Raw data was </w:t>
      </w:r>
      <w:proofErr w:type="spellStart"/>
      <w:r w:rsidRPr="00110466">
        <w:t>deconvoluted</w:t>
      </w:r>
      <w:proofErr w:type="spellEnd"/>
      <w:r w:rsidRPr="00110466">
        <w:t xml:space="preserve"> using GPS Explorer™ software and submitted for peptide mapping and MS/MS ion search analysis against </w:t>
      </w:r>
      <w:r w:rsidR="008C1773" w:rsidRPr="00110466">
        <w:t xml:space="preserve">user defined </w:t>
      </w:r>
      <w:proofErr w:type="spellStart"/>
      <w:r w:rsidR="008C1773" w:rsidRPr="00110466">
        <w:rPr>
          <w:i/>
        </w:rPr>
        <w:t>Blastomyces</w:t>
      </w:r>
      <w:proofErr w:type="spellEnd"/>
      <w:r w:rsidR="008C1773" w:rsidRPr="00110466">
        <w:rPr>
          <w:i/>
        </w:rPr>
        <w:t xml:space="preserve"> </w:t>
      </w:r>
      <w:proofErr w:type="spellStart"/>
      <w:r w:rsidR="008C1773" w:rsidRPr="00110466">
        <w:rPr>
          <w:i/>
        </w:rPr>
        <w:t>dermatitidis</w:t>
      </w:r>
      <w:proofErr w:type="spellEnd"/>
      <w:r w:rsidR="008C1773" w:rsidRPr="00110466">
        <w:t xml:space="preserve"> database </w:t>
      </w:r>
      <w:r w:rsidRPr="00110466">
        <w:t>(</w:t>
      </w:r>
      <w:r w:rsidR="008C1773" w:rsidRPr="00110466">
        <w:t>19,127</w:t>
      </w:r>
      <w:r w:rsidRPr="00110466">
        <w:t xml:space="preserve"> protein entries) with an in-house licensed Mascot search engine (</w:t>
      </w:r>
      <w:hyperlink r:id="rId5" w:history="1">
        <w:r w:rsidRPr="00110466">
          <w:rPr>
            <w:rStyle w:val="Hyperlink"/>
            <w:color w:val="auto"/>
            <w:u w:val="none"/>
          </w:rPr>
          <w:t>Matrix</w:t>
        </w:r>
      </w:hyperlink>
      <w:r w:rsidRPr="00110466">
        <w:t xml:space="preserve"> Science, London, UK)</w:t>
      </w:r>
      <w:r w:rsidR="008C1773" w:rsidRPr="00110466">
        <w:t xml:space="preserve"> with </w:t>
      </w:r>
      <w:r w:rsidRPr="00110466">
        <w:t>Methionine ox</w:t>
      </w:r>
      <w:r w:rsidR="008C1773" w:rsidRPr="00110466">
        <w:t>idation and</w:t>
      </w:r>
      <w:r w:rsidRPr="00110466">
        <w:t xml:space="preserve"> </w:t>
      </w:r>
      <w:r w:rsidR="008C1773" w:rsidRPr="00110466">
        <w:t xml:space="preserve">Lysine </w:t>
      </w:r>
      <w:proofErr w:type="spellStart"/>
      <w:r w:rsidR="008C1773" w:rsidRPr="00110466">
        <w:t>carbamylation</w:t>
      </w:r>
      <w:proofErr w:type="spellEnd"/>
      <w:r w:rsidR="008C1773" w:rsidRPr="00110466">
        <w:t xml:space="preserve"> </w:t>
      </w:r>
      <w:r w:rsidRPr="00110466">
        <w:t>as variable modifications.</w:t>
      </w:r>
    </w:p>
    <w:p w14:paraId="6AFC643F" w14:textId="77777777" w:rsidR="00FA455E" w:rsidRPr="00110466" w:rsidRDefault="00FA455E" w:rsidP="00E34502"/>
    <w:p w14:paraId="6F9EA431" w14:textId="77777777" w:rsidR="00650CB4" w:rsidRPr="00110466" w:rsidRDefault="000B40A3" w:rsidP="00E34502">
      <w:pPr>
        <w:spacing w:line="480" w:lineRule="auto"/>
        <w:rPr>
          <w:b/>
          <w:i/>
        </w:rPr>
      </w:pPr>
      <w:r w:rsidRPr="00110466">
        <w:rPr>
          <w:b/>
          <w:i/>
        </w:rPr>
        <w:t>LC-MS analysis</w:t>
      </w:r>
    </w:p>
    <w:tbl>
      <w:tblPr>
        <w:tblStyle w:val="TableGrid"/>
        <w:tblpPr w:leftFromText="180" w:rightFromText="180" w:vertAnchor="text" w:horzAnchor="page" w:tblpX="7883" w:tblpY="1841"/>
        <w:tblW w:w="0" w:type="auto"/>
        <w:tblLook w:val="01E0" w:firstRow="1" w:lastRow="1" w:firstColumn="1" w:lastColumn="1" w:noHBand="0" w:noVBand="0"/>
      </w:tblPr>
      <w:tblGrid>
        <w:gridCol w:w="1574"/>
        <w:gridCol w:w="1126"/>
      </w:tblGrid>
      <w:tr w:rsidR="00E34502" w:rsidRPr="00110466" w14:paraId="4850C5D6" w14:textId="77777777" w:rsidTr="00E34502">
        <w:tc>
          <w:tcPr>
            <w:tcW w:w="1574" w:type="dxa"/>
          </w:tcPr>
          <w:p w14:paraId="45FB9468" w14:textId="77777777" w:rsidR="00E34502" w:rsidRPr="00110466" w:rsidRDefault="00E34502" w:rsidP="00E34502">
            <w:pPr>
              <w:rPr>
                <w:sz w:val="22"/>
                <w:szCs w:val="22"/>
              </w:rPr>
            </w:pPr>
            <w:r w:rsidRPr="00110466">
              <w:rPr>
                <w:sz w:val="22"/>
                <w:szCs w:val="22"/>
              </w:rPr>
              <w:t>Time (min)</w:t>
            </w:r>
          </w:p>
        </w:tc>
        <w:tc>
          <w:tcPr>
            <w:tcW w:w="1126" w:type="dxa"/>
          </w:tcPr>
          <w:p w14:paraId="5F793771" w14:textId="77777777" w:rsidR="00E34502" w:rsidRPr="00110466" w:rsidRDefault="00E34502" w:rsidP="00E34502">
            <w:pPr>
              <w:rPr>
                <w:sz w:val="22"/>
                <w:szCs w:val="22"/>
              </w:rPr>
            </w:pPr>
            <w:r w:rsidRPr="00110466">
              <w:rPr>
                <w:sz w:val="22"/>
                <w:szCs w:val="22"/>
              </w:rPr>
              <w:t>%B</w:t>
            </w:r>
          </w:p>
        </w:tc>
      </w:tr>
      <w:tr w:rsidR="00E34502" w:rsidRPr="00110466" w14:paraId="53775453" w14:textId="77777777" w:rsidTr="00E34502">
        <w:trPr>
          <w:trHeight w:val="242"/>
        </w:trPr>
        <w:tc>
          <w:tcPr>
            <w:tcW w:w="1574" w:type="dxa"/>
          </w:tcPr>
          <w:p w14:paraId="5DC29023" w14:textId="77777777" w:rsidR="00E34502" w:rsidRPr="00110466" w:rsidRDefault="00E34502" w:rsidP="00E34502">
            <w:pPr>
              <w:rPr>
                <w:sz w:val="22"/>
                <w:szCs w:val="22"/>
              </w:rPr>
            </w:pPr>
            <w:r w:rsidRPr="00110466">
              <w:rPr>
                <w:sz w:val="22"/>
                <w:szCs w:val="22"/>
              </w:rPr>
              <w:t>0</w:t>
            </w:r>
          </w:p>
        </w:tc>
        <w:tc>
          <w:tcPr>
            <w:tcW w:w="1126" w:type="dxa"/>
          </w:tcPr>
          <w:p w14:paraId="0C20700D" w14:textId="77777777" w:rsidR="00E34502" w:rsidRPr="00110466" w:rsidRDefault="00E34502" w:rsidP="00E34502">
            <w:pPr>
              <w:rPr>
                <w:sz w:val="22"/>
                <w:szCs w:val="22"/>
              </w:rPr>
            </w:pPr>
            <w:r w:rsidRPr="00110466">
              <w:rPr>
                <w:sz w:val="22"/>
                <w:szCs w:val="22"/>
              </w:rPr>
              <w:t>2</w:t>
            </w:r>
          </w:p>
        </w:tc>
      </w:tr>
      <w:tr w:rsidR="00E34502" w:rsidRPr="00110466" w14:paraId="506EED87" w14:textId="77777777" w:rsidTr="00E34502">
        <w:tc>
          <w:tcPr>
            <w:tcW w:w="1574" w:type="dxa"/>
          </w:tcPr>
          <w:p w14:paraId="23EAD76F" w14:textId="77777777" w:rsidR="00E34502" w:rsidRPr="00110466" w:rsidRDefault="00E34502" w:rsidP="00E34502">
            <w:pPr>
              <w:rPr>
                <w:sz w:val="22"/>
                <w:szCs w:val="22"/>
              </w:rPr>
            </w:pPr>
            <w:r w:rsidRPr="00110466">
              <w:rPr>
                <w:sz w:val="22"/>
                <w:szCs w:val="22"/>
              </w:rPr>
              <w:t>1</w:t>
            </w:r>
          </w:p>
        </w:tc>
        <w:tc>
          <w:tcPr>
            <w:tcW w:w="1126" w:type="dxa"/>
          </w:tcPr>
          <w:p w14:paraId="03578AA7" w14:textId="77777777" w:rsidR="00E34502" w:rsidRPr="00110466" w:rsidRDefault="00E34502" w:rsidP="00E34502">
            <w:pPr>
              <w:rPr>
                <w:sz w:val="22"/>
                <w:szCs w:val="22"/>
              </w:rPr>
            </w:pPr>
            <w:r w:rsidRPr="00110466">
              <w:rPr>
                <w:sz w:val="22"/>
                <w:szCs w:val="22"/>
              </w:rPr>
              <w:t>2</w:t>
            </w:r>
          </w:p>
        </w:tc>
      </w:tr>
      <w:tr w:rsidR="00E34502" w:rsidRPr="00110466" w14:paraId="2FFC1F5E" w14:textId="77777777" w:rsidTr="00E34502">
        <w:tc>
          <w:tcPr>
            <w:tcW w:w="1574" w:type="dxa"/>
          </w:tcPr>
          <w:p w14:paraId="4A9B2B1C" w14:textId="77777777" w:rsidR="00E34502" w:rsidRPr="00110466" w:rsidRDefault="00E34502" w:rsidP="00E34502">
            <w:pPr>
              <w:rPr>
                <w:sz w:val="22"/>
                <w:szCs w:val="22"/>
              </w:rPr>
            </w:pPr>
            <w:r w:rsidRPr="00110466">
              <w:rPr>
                <w:sz w:val="22"/>
                <w:szCs w:val="22"/>
              </w:rPr>
              <w:t>25</w:t>
            </w:r>
          </w:p>
        </w:tc>
        <w:tc>
          <w:tcPr>
            <w:tcW w:w="1126" w:type="dxa"/>
          </w:tcPr>
          <w:p w14:paraId="3DD1AD8F" w14:textId="77777777" w:rsidR="00E34502" w:rsidRPr="00110466" w:rsidRDefault="00E34502" w:rsidP="00E34502">
            <w:pPr>
              <w:rPr>
                <w:sz w:val="22"/>
                <w:szCs w:val="22"/>
              </w:rPr>
            </w:pPr>
            <w:r w:rsidRPr="00110466">
              <w:rPr>
                <w:sz w:val="22"/>
                <w:szCs w:val="22"/>
              </w:rPr>
              <w:t>90</w:t>
            </w:r>
          </w:p>
        </w:tc>
      </w:tr>
      <w:tr w:rsidR="00E34502" w:rsidRPr="00110466" w14:paraId="7F8BBBD7" w14:textId="77777777" w:rsidTr="00E34502">
        <w:tc>
          <w:tcPr>
            <w:tcW w:w="1574" w:type="dxa"/>
          </w:tcPr>
          <w:p w14:paraId="764C1982" w14:textId="77777777" w:rsidR="00E34502" w:rsidRPr="00110466" w:rsidRDefault="00E34502" w:rsidP="00E34502">
            <w:pPr>
              <w:rPr>
                <w:sz w:val="22"/>
                <w:szCs w:val="22"/>
              </w:rPr>
            </w:pPr>
            <w:r w:rsidRPr="00110466">
              <w:rPr>
                <w:sz w:val="22"/>
                <w:szCs w:val="22"/>
              </w:rPr>
              <w:t>26</w:t>
            </w:r>
          </w:p>
        </w:tc>
        <w:tc>
          <w:tcPr>
            <w:tcW w:w="1126" w:type="dxa"/>
          </w:tcPr>
          <w:p w14:paraId="607B918D" w14:textId="77777777" w:rsidR="00E34502" w:rsidRPr="00110466" w:rsidRDefault="00E34502" w:rsidP="00E34502">
            <w:pPr>
              <w:rPr>
                <w:sz w:val="22"/>
                <w:szCs w:val="22"/>
              </w:rPr>
            </w:pPr>
            <w:r w:rsidRPr="00110466">
              <w:rPr>
                <w:sz w:val="22"/>
                <w:szCs w:val="22"/>
              </w:rPr>
              <w:t>95</w:t>
            </w:r>
          </w:p>
        </w:tc>
      </w:tr>
      <w:tr w:rsidR="00E34502" w:rsidRPr="00110466" w14:paraId="1B1C7930" w14:textId="77777777" w:rsidTr="00E34502">
        <w:trPr>
          <w:trHeight w:val="269"/>
        </w:trPr>
        <w:tc>
          <w:tcPr>
            <w:tcW w:w="1574" w:type="dxa"/>
          </w:tcPr>
          <w:p w14:paraId="2EB21D58" w14:textId="77777777" w:rsidR="00E34502" w:rsidRPr="00110466" w:rsidRDefault="00E34502" w:rsidP="00E34502">
            <w:pPr>
              <w:rPr>
                <w:sz w:val="22"/>
                <w:szCs w:val="22"/>
              </w:rPr>
            </w:pPr>
            <w:r w:rsidRPr="00110466">
              <w:rPr>
                <w:sz w:val="22"/>
                <w:szCs w:val="22"/>
              </w:rPr>
              <w:t>27</w:t>
            </w:r>
          </w:p>
        </w:tc>
        <w:tc>
          <w:tcPr>
            <w:tcW w:w="1126" w:type="dxa"/>
          </w:tcPr>
          <w:p w14:paraId="021C84BA" w14:textId="77777777" w:rsidR="00E34502" w:rsidRPr="00110466" w:rsidRDefault="00E34502" w:rsidP="00E34502">
            <w:pPr>
              <w:rPr>
                <w:sz w:val="22"/>
                <w:szCs w:val="22"/>
              </w:rPr>
            </w:pPr>
            <w:r w:rsidRPr="00110466">
              <w:rPr>
                <w:sz w:val="22"/>
                <w:szCs w:val="22"/>
              </w:rPr>
              <w:t>2</w:t>
            </w:r>
          </w:p>
        </w:tc>
      </w:tr>
      <w:tr w:rsidR="00E34502" w:rsidRPr="00110466" w14:paraId="276DC19F" w14:textId="77777777" w:rsidTr="00E34502">
        <w:tc>
          <w:tcPr>
            <w:tcW w:w="1574" w:type="dxa"/>
          </w:tcPr>
          <w:p w14:paraId="2E61E0F6" w14:textId="77777777" w:rsidR="00E34502" w:rsidRPr="00110466" w:rsidRDefault="00E34502" w:rsidP="00E34502">
            <w:pPr>
              <w:rPr>
                <w:sz w:val="22"/>
                <w:szCs w:val="22"/>
              </w:rPr>
            </w:pPr>
            <w:r w:rsidRPr="00110466">
              <w:rPr>
                <w:sz w:val="22"/>
                <w:szCs w:val="22"/>
              </w:rPr>
              <w:t>42</w:t>
            </w:r>
          </w:p>
        </w:tc>
        <w:tc>
          <w:tcPr>
            <w:tcW w:w="1126" w:type="dxa"/>
          </w:tcPr>
          <w:p w14:paraId="7C000286" w14:textId="77777777" w:rsidR="00E34502" w:rsidRPr="00110466" w:rsidRDefault="00E34502" w:rsidP="00E34502">
            <w:pPr>
              <w:rPr>
                <w:sz w:val="22"/>
                <w:szCs w:val="22"/>
              </w:rPr>
            </w:pPr>
            <w:r w:rsidRPr="00110466">
              <w:rPr>
                <w:sz w:val="22"/>
                <w:szCs w:val="22"/>
              </w:rPr>
              <w:t>2</w:t>
            </w:r>
          </w:p>
        </w:tc>
      </w:tr>
    </w:tbl>
    <w:p w14:paraId="340DEDCD" w14:textId="77777777" w:rsidR="00D400DD" w:rsidRPr="00110466" w:rsidRDefault="00384966" w:rsidP="00E34502">
      <w:pPr>
        <w:spacing w:line="480" w:lineRule="auto"/>
        <w:rPr>
          <w:i/>
        </w:rPr>
      </w:pPr>
      <w:r w:rsidRPr="00110466">
        <w:t>Peptides</w:t>
      </w:r>
      <w:r w:rsidR="00D400DD" w:rsidRPr="00110466">
        <w:t xml:space="preserve"> and intact protein species</w:t>
      </w:r>
      <w:r w:rsidRPr="00110466">
        <w:t xml:space="preserve"> were </w:t>
      </w:r>
      <w:r w:rsidR="00D400DD" w:rsidRPr="00110466">
        <w:t xml:space="preserve">chromatographically resolved with </w:t>
      </w:r>
      <w:proofErr w:type="spellStart"/>
      <w:r w:rsidR="00D400DD" w:rsidRPr="00110466">
        <w:t>Phenomenex</w:t>
      </w:r>
      <w:proofErr w:type="spellEnd"/>
      <w:r w:rsidR="00D400DD" w:rsidRPr="00110466">
        <w:t xml:space="preserve"> Jupiter</w:t>
      </w:r>
      <w:r w:rsidRPr="00110466">
        <w:t xml:space="preserve"> </w:t>
      </w:r>
      <w:r w:rsidR="00D400DD" w:rsidRPr="00110466">
        <w:t xml:space="preserve">5µm C4 300A </w:t>
      </w:r>
      <w:r w:rsidR="001840DA" w:rsidRPr="00110466">
        <w:t xml:space="preserve">2.0x50mm </w:t>
      </w:r>
      <w:r w:rsidR="00D400DD" w:rsidRPr="00110466">
        <w:t xml:space="preserve">column, equipped with guard column containing the same resolving media, on an Agilent 1200 HPLC with an </w:t>
      </w:r>
      <w:proofErr w:type="spellStart"/>
      <w:r w:rsidR="00D400DD" w:rsidRPr="00110466">
        <w:t>autosampler</w:t>
      </w:r>
      <w:proofErr w:type="spellEnd"/>
      <w:r w:rsidR="00D400DD" w:rsidRPr="00110466">
        <w:t xml:space="preserve"> held at 5</w:t>
      </w:r>
      <w:r w:rsidR="00D400DD" w:rsidRPr="00110466">
        <w:rPr>
          <w:rFonts w:ascii="Calibri" w:hAnsi="Calibri" w:cs="Calibri"/>
        </w:rPr>
        <w:t>⁰</w:t>
      </w:r>
      <w:r w:rsidR="00715001" w:rsidRPr="00110466">
        <w:t>C, using</w:t>
      </w:r>
      <w:r w:rsidR="001840DA" w:rsidRPr="00110466">
        <w:t xml:space="preserve"> linear gradient of 98% Water: 2% acetonitrile 0.1% Formic acid to 90% Acetonitrile 10% water 0.1% Formic acid over 25 minutes. The flow rate was .25 ml/min. </w:t>
      </w:r>
      <w:r w:rsidR="00D400DD" w:rsidRPr="00110466">
        <w:t>The gradient was as follows:</w:t>
      </w:r>
    </w:p>
    <w:p w14:paraId="1568B102" w14:textId="77777777" w:rsidR="00D400DD" w:rsidRPr="00110466" w:rsidRDefault="00D400DD" w:rsidP="008A21E1">
      <w:pPr>
        <w:ind w:firstLine="720"/>
        <w:jc w:val="both"/>
        <w:rPr>
          <w:sz w:val="22"/>
          <w:szCs w:val="22"/>
        </w:rPr>
      </w:pPr>
    </w:p>
    <w:p w14:paraId="2D5B1C61" w14:textId="77777777" w:rsidR="00E34502" w:rsidRPr="00110466" w:rsidRDefault="00E34502" w:rsidP="00E34502">
      <w:pPr>
        <w:jc w:val="both"/>
        <w:rPr>
          <w:sz w:val="22"/>
          <w:szCs w:val="22"/>
        </w:rPr>
      </w:pPr>
    </w:p>
    <w:p w14:paraId="4292D71E" w14:textId="77777777" w:rsidR="00384966" w:rsidRPr="00110466" w:rsidRDefault="00D400DD" w:rsidP="008A21E1">
      <w:pPr>
        <w:ind w:firstLine="720"/>
        <w:jc w:val="both"/>
        <w:rPr>
          <w:sz w:val="22"/>
          <w:szCs w:val="22"/>
        </w:rPr>
      </w:pPr>
      <w:r w:rsidRPr="00110466">
        <w:rPr>
          <w:sz w:val="22"/>
          <w:szCs w:val="22"/>
        </w:rPr>
        <w:lastRenderedPageBreak/>
        <w:t xml:space="preserve"> </w:t>
      </w:r>
    </w:p>
    <w:p w14:paraId="165379CF" w14:textId="40DE8D0A" w:rsidR="00AF18DF" w:rsidRPr="00110466" w:rsidRDefault="00715001" w:rsidP="00316963">
      <w:pPr>
        <w:spacing w:line="480" w:lineRule="auto"/>
      </w:pPr>
      <w:r w:rsidRPr="00110466">
        <w:t>The mass spectrometer used in conjunction with chromatographic separation was an Agilent LC/MSD TOF with electrospray ionization used in positive ion mode (</w:t>
      </w:r>
      <w:hyperlink r:id="rId6" w:history="1">
        <w:r w:rsidRPr="00110466">
          <w:rPr>
            <w:rStyle w:val="Hyperlink"/>
          </w:rPr>
          <w:t>http://www.biotech.wisc.edu/facilities/massspec/instrumentationoverview/LCMSDTOF</w:t>
        </w:r>
      </w:hyperlink>
      <w:r w:rsidRPr="00110466">
        <w:t>)</w:t>
      </w:r>
    </w:p>
    <w:p w14:paraId="442686B7" w14:textId="5CA32870" w:rsidR="00F14950" w:rsidRPr="00110466" w:rsidRDefault="00715001" w:rsidP="00316963">
      <w:pPr>
        <w:spacing w:line="480" w:lineRule="auto"/>
      </w:pPr>
      <w:r w:rsidRPr="00110466">
        <w:t xml:space="preserve">Lists of peptide masses were generated in Agilent </w:t>
      </w:r>
      <w:proofErr w:type="spellStart"/>
      <w:r w:rsidRPr="00110466">
        <w:t>MassHunter</w:t>
      </w:r>
      <w:proofErr w:type="spellEnd"/>
      <w:r w:rsidRPr="00110466">
        <w:t xml:space="preserve"> Qualitative Analysis using the Find </w:t>
      </w:r>
      <w:r w:rsidR="005C7064" w:rsidRPr="00110466">
        <w:t xml:space="preserve">Compound by Molecular Feature. To </w:t>
      </w:r>
      <w:proofErr w:type="spellStart"/>
      <w:r w:rsidR="005C7064" w:rsidRPr="00110466">
        <w:t>deconvolute</w:t>
      </w:r>
      <w:proofErr w:type="spellEnd"/>
      <w:r w:rsidR="005C7064" w:rsidRPr="00110466">
        <w:t xml:space="preserve"> intact MW of protein species</w:t>
      </w:r>
      <w:r w:rsidR="00E058A5" w:rsidRPr="00110466">
        <w:t xml:space="preserve"> Agilent </w:t>
      </w:r>
      <w:proofErr w:type="spellStart"/>
      <w:r w:rsidR="00E058A5" w:rsidRPr="00110466">
        <w:t>BioConfirm</w:t>
      </w:r>
      <w:proofErr w:type="spellEnd"/>
      <w:r w:rsidR="00E058A5" w:rsidRPr="00110466">
        <w:t xml:space="preserve"> Software version A.02.00 was used.</w:t>
      </w:r>
      <w:r w:rsidR="00316963" w:rsidRPr="00110466">
        <w:t xml:space="preserve"> </w:t>
      </w:r>
      <w:r w:rsidR="005C7064" w:rsidRPr="00110466">
        <w:t>The following instrumental parameters were used to generate the most optimum protonated ions [M+H</w:t>
      </w:r>
      <w:r w:rsidR="005C7064" w:rsidRPr="00110466">
        <w:rPr>
          <w:vertAlign w:val="superscript"/>
        </w:rPr>
        <w:sym w:font="Symbol" w:char="F0C5"/>
      </w:r>
      <w:r w:rsidR="005C7064" w:rsidRPr="00110466">
        <w:t xml:space="preserve">] in Positive Mode: Capillary voltage 3600 V; Drying Gas 6.0 l/min; Nebulizer 30 psig; Gas temperature 350°C; Oct DC1 39.5 V; </w:t>
      </w:r>
      <w:proofErr w:type="spellStart"/>
      <w:r w:rsidR="005C7064" w:rsidRPr="00110466">
        <w:t>Fragmentor</w:t>
      </w:r>
      <w:proofErr w:type="spellEnd"/>
      <w:r w:rsidR="005C7064" w:rsidRPr="00110466">
        <w:t xml:space="preserve"> 130 V; Oct RF 250 V; Skimmer 60V. Internal calibration was achieved with assisted spray of two reference masses, 922.0098 m/z and 121.0509 m/z. </w:t>
      </w:r>
    </w:p>
    <w:p w14:paraId="028B9990" w14:textId="77777777" w:rsidR="00AE0962" w:rsidRPr="00110466" w:rsidRDefault="00AE0962" w:rsidP="00E34502">
      <w:pPr>
        <w:jc w:val="both"/>
        <w:rPr>
          <w:b/>
          <w:i/>
        </w:rPr>
      </w:pPr>
    </w:p>
    <w:p w14:paraId="150AFBE4" w14:textId="77777777" w:rsidR="00650CB4" w:rsidRPr="00110466" w:rsidRDefault="00650CB4" w:rsidP="00316963">
      <w:pPr>
        <w:spacing w:line="480" w:lineRule="auto"/>
        <w:jc w:val="both"/>
        <w:rPr>
          <w:b/>
        </w:rPr>
      </w:pPr>
      <w:r w:rsidRPr="00110466">
        <w:rPr>
          <w:b/>
        </w:rPr>
        <w:t>DLS analysis of BAD-1</w:t>
      </w:r>
    </w:p>
    <w:p w14:paraId="56C4B236" w14:textId="5BF5A12C" w:rsidR="00650CB4" w:rsidRPr="00110466" w:rsidRDefault="00867C10" w:rsidP="003400EE">
      <w:pPr>
        <w:widowControl w:val="0"/>
        <w:autoSpaceDE w:val="0"/>
        <w:autoSpaceDN w:val="0"/>
        <w:adjustRightInd w:val="0"/>
        <w:spacing w:line="480" w:lineRule="auto"/>
        <w:rPr>
          <w:rFonts w:ascii="Consolas" w:hAnsi="Consolas" w:cs="Consolas"/>
        </w:rPr>
      </w:pPr>
      <w:proofErr w:type="spellStart"/>
      <w:r w:rsidRPr="00110466">
        <w:t>Unimodal</w:t>
      </w:r>
      <w:proofErr w:type="spellEnd"/>
      <w:r w:rsidRPr="00110466">
        <w:t xml:space="preserve"> analysis of the dynamic light scattering (DLS) data from two independent samples of BAD-1 indicated a high level of </w:t>
      </w:r>
      <w:proofErr w:type="spellStart"/>
      <w:r w:rsidRPr="00110466">
        <w:t>polydispersity</w:t>
      </w:r>
      <w:proofErr w:type="spellEnd"/>
      <w:r w:rsidRPr="00110466">
        <w:t xml:space="preserve">, 0.66 and 0.79.   </w:t>
      </w:r>
      <w:r w:rsidR="00650CB4" w:rsidRPr="00110466">
        <w:t>For both sets of data</w:t>
      </w:r>
      <w:r w:rsidR="00AE0962" w:rsidRPr="00110466">
        <w:t>,</w:t>
      </w:r>
      <w:r w:rsidR="00650CB4" w:rsidRPr="00110466">
        <w:t xml:space="preserve"> the software identified a population accounting for ~70% of the scattering intensity with a mean radius of 7.2 ± 0.5 nm and mean standard deviation for the peak of 1.8± 0.7. The remaining scattering intensity was attributed to a population with a much broader size range. The mean radius among all repetitions was 111± 89 nm with a mean peak standard deviation of 16±16 nm. Interestingly the first peak was the same in the two protein samples</w:t>
      </w:r>
      <w:r w:rsidR="0093652D" w:rsidRPr="00110466">
        <w:t>,</w:t>
      </w:r>
      <w:r w:rsidR="00650CB4" w:rsidRPr="00110466">
        <w:t xml:space="preserve"> but the second peaks mean radius was very different 160 ± 22 and 68 ± 10. This analysis makes it clea</w:t>
      </w:r>
      <w:r w:rsidR="00131BD1" w:rsidRPr="00110466">
        <w:t xml:space="preserve">r that </w:t>
      </w:r>
      <w:r w:rsidR="00650CB4" w:rsidRPr="00110466">
        <w:t xml:space="preserve">the </w:t>
      </w:r>
      <w:r w:rsidR="0093652D" w:rsidRPr="00110466">
        <w:t>BAD-</w:t>
      </w:r>
      <w:r w:rsidR="00650CB4" w:rsidRPr="00110466">
        <w:t>1 preparations have some heterogeneity in size, possibly due to aggregation, but has a dominant fraction of a fairly homogeneous size of 7.2</w:t>
      </w:r>
      <w:r w:rsidRPr="00110466">
        <w:t>± 0.5</w:t>
      </w:r>
      <w:r w:rsidR="00650CB4" w:rsidRPr="00110466">
        <w:t xml:space="preserve"> nm, which is taken to be the monomer.</w:t>
      </w:r>
    </w:p>
    <w:p w14:paraId="27B172FF" w14:textId="77777777" w:rsidR="00131BD1" w:rsidRPr="00110466" w:rsidRDefault="00131BD1" w:rsidP="003400EE">
      <w:pPr>
        <w:widowControl w:val="0"/>
        <w:autoSpaceDE w:val="0"/>
        <w:autoSpaceDN w:val="0"/>
        <w:adjustRightInd w:val="0"/>
        <w:rPr>
          <w:b/>
        </w:rPr>
      </w:pPr>
    </w:p>
    <w:p w14:paraId="46D25B68" w14:textId="77777777" w:rsidR="00867C10" w:rsidRPr="00110466" w:rsidRDefault="00867C10" w:rsidP="00867C10">
      <w:pPr>
        <w:widowControl w:val="0"/>
        <w:autoSpaceDE w:val="0"/>
        <w:autoSpaceDN w:val="0"/>
        <w:adjustRightInd w:val="0"/>
        <w:spacing w:line="480" w:lineRule="auto"/>
        <w:rPr>
          <w:b/>
        </w:rPr>
      </w:pPr>
      <w:r w:rsidRPr="00110466">
        <w:rPr>
          <w:b/>
        </w:rPr>
        <w:t>Sedimentation equilibrium analysis</w:t>
      </w:r>
    </w:p>
    <w:p w14:paraId="0F0982E5" w14:textId="16318FB9" w:rsidR="00867C10" w:rsidRPr="00110466" w:rsidRDefault="00867C10" w:rsidP="00867C10">
      <w:pPr>
        <w:widowControl w:val="0"/>
        <w:autoSpaceDE w:val="0"/>
        <w:autoSpaceDN w:val="0"/>
        <w:adjustRightInd w:val="0"/>
        <w:spacing w:line="480" w:lineRule="auto"/>
      </w:pPr>
      <w:r w:rsidRPr="00110466">
        <w:lastRenderedPageBreak/>
        <w:t xml:space="preserve">~100 µL of each sample was loaded into one sector of 1.2 cm charcoal-filled </w:t>
      </w:r>
      <w:proofErr w:type="spellStart"/>
      <w:r w:rsidRPr="00110466">
        <w:t>epon</w:t>
      </w:r>
      <w:proofErr w:type="spellEnd"/>
      <w:r w:rsidRPr="00110466">
        <w:t xml:space="preserve"> double sector centerpieces with ~108 µL of the dialysate buffer in the reference sector.  Data were collected at 4°C with gradients monitored at a nominal 280 nm  (the instrument reported values from 279-281 nm).  Equilibrium was assumed when gradients collected 3 or more hours apart were superimposable. Equilibrium data were collected at speeds of 5600, 7800, 9200 and 12000 rpm. The presence of non</w:t>
      </w:r>
      <w:r w:rsidR="00131BD1" w:rsidRPr="00110466">
        <w:t>-</w:t>
      </w:r>
      <w:proofErr w:type="spellStart"/>
      <w:r w:rsidRPr="00110466">
        <w:t>sedimenting</w:t>
      </w:r>
      <w:proofErr w:type="spellEnd"/>
      <w:r w:rsidRPr="00110466">
        <w:t xml:space="preserve"> baseline (BOD) was established by a high-speed spin to deplete all protein material. Loading </w:t>
      </w:r>
      <w:proofErr w:type="spellStart"/>
      <w:r w:rsidRPr="00110466">
        <w:t>absorbances</w:t>
      </w:r>
      <w:proofErr w:type="spellEnd"/>
      <w:r w:rsidRPr="00110466">
        <w:t xml:space="preserve"> (280 nm) were 0.636, 0.350 0.182 with BODs of 0.036, 0.022, and 0.013 respectively. Plots of the </w:t>
      </w:r>
      <w:proofErr w:type="spellStart"/>
      <w:r w:rsidRPr="00110466">
        <w:t>ln</w:t>
      </w:r>
      <w:proofErr w:type="spellEnd"/>
      <w:r w:rsidRPr="00110466">
        <w:t xml:space="preserve"> of the absorbance vs</w:t>
      </w:r>
      <w:r w:rsidR="00C879CD" w:rsidRPr="00110466">
        <w:t>.</w:t>
      </w:r>
      <w:r w:rsidRPr="00110466">
        <w:t xml:space="preserve"> squared distance from the center of rotation were linear at all speeds and for all loading concentrations consistent with a single molecular species</w:t>
      </w:r>
      <w:r w:rsidR="00131BD1" w:rsidRPr="00110466">
        <w:t>,</w:t>
      </w:r>
      <w:r w:rsidRPr="00110466">
        <w:t xml:space="preserve"> which was found to be monomeric. No evidence was found for higher oligomers up to at least </w:t>
      </w:r>
      <w:r w:rsidR="002E67E5" w:rsidRPr="00110466">
        <w:t>up to a concentration of</w:t>
      </w:r>
      <w:r w:rsidRPr="00110466">
        <w:t xml:space="preserve"> ~1.5 µM</w:t>
      </w:r>
      <w:r w:rsidR="00C879CD" w:rsidRPr="00110466">
        <w:t xml:space="preserve"> BAD-1</w:t>
      </w:r>
      <w:r w:rsidR="00217A3F" w:rsidRPr="00110466">
        <w:t>.</w:t>
      </w:r>
    </w:p>
    <w:p w14:paraId="4E80D96A" w14:textId="77777777" w:rsidR="001779E2" w:rsidRPr="00110466" w:rsidRDefault="001779E2" w:rsidP="00131BD1">
      <w:pPr>
        <w:widowControl w:val="0"/>
        <w:autoSpaceDE w:val="0"/>
        <w:autoSpaceDN w:val="0"/>
        <w:adjustRightInd w:val="0"/>
        <w:rPr>
          <w:b/>
        </w:rPr>
      </w:pPr>
    </w:p>
    <w:p w14:paraId="7B5A9523" w14:textId="77777777" w:rsidR="00F113C1" w:rsidRPr="00110466" w:rsidRDefault="00F113C1" w:rsidP="003400EE">
      <w:pPr>
        <w:widowControl w:val="0"/>
        <w:autoSpaceDE w:val="0"/>
        <w:autoSpaceDN w:val="0"/>
        <w:adjustRightInd w:val="0"/>
        <w:spacing w:line="480" w:lineRule="auto"/>
        <w:rPr>
          <w:b/>
        </w:rPr>
      </w:pPr>
      <w:r w:rsidRPr="00110466">
        <w:rPr>
          <w:b/>
        </w:rPr>
        <w:t>SPR analysis of BAD-1</w:t>
      </w:r>
    </w:p>
    <w:p w14:paraId="315F2682" w14:textId="50DB31E9" w:rsidR="00131BD1" w:rsidRPr="00110466" w:rsidRDefault="00F113C1" w:rsidP="003400EE">
      <w:pPr>
        <w:spacing w:line="480" w:lineRule="auto"/>
        <w:rPr>
          <w:b/>
        </w:rPr>
      </w:pPr>
      <w:r w:rsidRPr="00110466">
        <w:t>In a dose</w:t>
      </w:r>
      <w:r w:rsidR="0094498C" w:rsidRPr="00110466">
        <w:t>-</w:t>
      </w:r>
      <w:r w:rsidRPr="00110466">
        <w:t xml:space="preserve">response curve </w:t>
      </w:r>
      <w:r w:rsidR="0094498C" w:rsidRPr="00110466">
        <w:t>generated</w:t>
      </w:r>
      <w:r w:rsidRPr="00110466">
        <w:t xml:space="preserve"> before the lowest density heparin surface was added, the off rates were comparable</w:t>
      </w:r>
      <w:r w:rsidR="0094498C" w:rsidRPr="00110466">
        <w:t>,</w:t>
      </w:r>
      <w:r w:rsidRPr="00110466">
        <w:t xml:space="preserve"> but </w:t>
      </w:r>
      <w:r w:rsidR="0094498C" w:rsidRPr="00110466">
        <w:t xml:space="preserve">the </w:t>
      </w:r>
      <w:r w:rsidRPr="00110466">
        <w:t xml:space="preserve">on rates for all surfaces were generally </w:t>
      </w:r>
      <w:r w:rsidR="0094498C" w:rsidRPr="00110466">
        <w:t xml:space="preserve">higher, </w:t>
      </w:r>
      <w:r w:rsidRPr="00110466">
        <w:t>about twice the results discussed above</w:t>
      </w:r>
      <w:r w:rsidR="0094498C" w:rsidRPr="00110466">
        <w:t>,</w:t>
      </w:r>
      <w:r w:rsidRPr="00110466">
        <w:t xml:space="preserve"> and maximal binding was higher. The source of this variation is unclear</w:t>
      </w:r>
      <w:r w:rsidR="0094498C" w:rsidRPr="00110466">
        <w:t>;</w:t>
      </w:r>
      <w:r w:rsidRPr="00110466">
        <w:t xml:space="preserve"> it could reflect a change in the surface during removal of bound BAD-1, variability in the quality of BAD-1 preparation (degraded preparations show </w:t>
      </w:r>
      <w:r w:rsidR="0094498C" w:rsidRPr="00110466">
        <w:t>weak</w:t>
      </w:r>
      <w:r w:rsidRPr="00110466">
        <w:t xml:space="preserve"> binding) since on rates are dependent on accurate concentrations or some combination of the two. The lower variation in off rates probably reflects the low degree of dissociation occurring during the measurements (half-life for dissociation of 1.1 h) and it is not as dependent on accurate concentrations. Nonetheless</w:t>
      </w:r>
      <w:r w:rsidR="0094498C" w:rsidRPr="00110466">
        <w:t>,</w:t>
      </w:r>
      <w:r w:rsidRPr="00110466">
        <w:t xml:space="preserve"> BAD-1 </w:t>
      </w:r>
      <w:r w:rsidR="0094498C" w:rsidRPr="00110466">
        <w:t xml:space="preserve">clearly </w:t>
      </w:r>
      <w:r w:rsidRPr="00110466">
        <w:t>binds to immobilized heparin in a concentration dependent manner</w:t>
      </w:r>
      <w:r w:rsidR="00C879CD" w:rsidRPr="00110466">
        <w:t>,</w:t>
      </w:r>
      <w:r w:rsidRPr="00110466">
        <w:t xml:space="preserve"> which is </w:t>
      </w:r>
      <w:proofErr w:type="spellStart"/>
      <w:r w:rsidRPr="00110466">
        <w:t>inhibitable</w:t>
      </w:r>
      <w:proofErr w:type="spellEnd"/>
      <w:r w:rsidRPr="00110466">
        <w:t xml:space="preserve"> by free heparin, and once bound BAD-1 dissociates from the surface slowly.</w:t>
      </w:r>
      <w:r w:rsidR="00131BD1" w:rsidRPr="00110466">
        <w:rPr>
          <w:b/>
        </w:rPr>
        <w:br w:type="page"/>
      </w:r>
    </w:p>
    <w:p w14:paraId="6BCE72E6" w14:textId="7A6FE2DD" w:rsidR="000D3597" w:rsidRPr="00110466" w:rsidRDefault="001065A6" w:rsidP="00316963">
      <w:pPr>
        <w:spacing w:line="480" w:lineRule="auto"/>
      </w:pPr>
      <w:r w:rsidRPr="00110466">
        <w:rPr>
          <w:b/>
        </w:rPr>
        <w:lastRenderedPageBreak/>
        <w:t>Figure S1</w:t>
      </w:r>
      <w:r w:rsidR="000D3597" w:rsidRPr="00110466">
        <w:rPr>
          <w:b/>
        </w:rPr>
        <w:t>.</w:t>
      </w:r>
      <w:r w:rsidRPr="00110466">
        <w:t xml:space="preserve"> </w:t>
      </w:r>
      <w:r w:rsidR="000D3597" w:rsidRPr="00110466">
        <w:rPr>
          <w:b/>
        </w:rPr>
        <w:t xml:space="preserve">Recombinant </w:t>
      </w:r>
      <w:r w:rsidR="000D3597" w:rsidRPr="00110466">
        <w:rPr>
          <w:b/>
          <w:i/>
        </w:rPr>
        <w:t xml:space="preserve">B. </w:t>
      </w:r>
      <w:proofErr w:type="spellStart"/>
      <w:r w:rsidR="000D3597" w:rsidRPr="00110466">
        <w:rPr>
          <w:b/>
          <w:i/>
        </w:rPr>
        <w:t>dermatitidis</w:t>
      </w:r>
      <w:proofErr w:type="spellEnd"/>
      <w:r w:rsidR="000D3597" w:rsidRPr="00110466">
        <w:rPr>
          <w:b/>
        </w:rPr>
        <w:t xml:space="preserve"> yeast displaying BAD-1 derivatives</w:t>
      </w:r>
      <w:r w:rsidR="000D3597" w:rsidRPr="00110466">
        <w:t xml:space="preserve">.  </w:t>
      </w:r>
    </w:p>
    <w:p w14:paraId="75BCE4E2" w14:textId="06CBF464" w:rsidR="001065A6" w:rsidRPr="00110466" w:rsidRDefault="001065A6" w:rsidP="00316963">
      <w:pPr>
        <w:spacing w:line="480" w:lineRule="auto"/>
      </w:pPr>
      <w:r w:rsidRPr="00110466">
        <w:t xml:space="preserve">Yeast </w:t>
      </w:r>
      <w:proofErr w:type="gramStart"/>
      <w:r w:rsidRPr="00110466">
        <w:t>were</w:t>
      </w:r>
      <w:proofErr w:type="gramEnd"/>
      <w:r w:rsidRPr="00110466">
        <w:t xml:space="preserve"> probed with primary anti-BAD-1 </w:t>
      </w:r>
      <w:proofErr w:type="spellStart"/>
      <w:r w:rsidR="00316963" w:rsidRPr="00110466">
        <w:t>monocolonal</w:t>
      </w:r>
      <w:proofErr w:type="spellEnd"/>
      <w:r w:rsidR="00316963" w:rsidRPr="00110466">
        <w:t xml:space="preserve"> </w:t>
      </w:r>
      <w:r w:rsidRPr="00110466">
        <w:t xml:space="preserve">antibody DD5-CB4 and a secondary GAM-FITC antibody (Sigma) to quantify surface BAD-1 using </w:t>
      </w:r>
      <w:r w:rsidRPr="00110466">
        <w:rPr>
          <w:color w:val="000000"/>
        </w:rPr>
        <w:t xml:space="preserve">a </w:t>
      </w:r>
      <w:proofErr w:type="spellStart"/>
      <w:r w:rsidRPr="00110466">
        <w:rPr>
          <w:color w:val="000000"/>
        </w:rPr>
        <w:t>FACscan</w:t>
      </w:r>
      <w:proofErr w:type="spellEnd"/>
      <w:r w:rsidRPr="00110466">
        <w:rPr>
          <w:color w:val="000000"/>
        </w:rPr>
        <w:t xml:space="preserve"> flow cytometer (Becton Dickenson)</w:t>
      </w:r>
      <w:r w:rsidRPr="00110466">
        <w:t xml:space="preserve">.  </w:t>
      </w:r>
      <w:r w:rsidRPr="00110466">
        <w:rPr>
          <w:i/>
        </w:rPr>
        <w:t xml:space="preserve">B. </w:t>
      </w:r>
      <w:proofErr w:type="spellStart"/>
      <w:proofErr w:type="gramStart"/>
      <w:r w:rsidRPr="00110466">
        <w:rPr>
          <w:i/>
        </w:rPr>
        <w:t>dermatitidis</w:t>
      </w:r>
      <w:proofErr w:type="spellEnd"/>
      <w:proofErr w:type="gramEnd"/>
      <w:r w:rsidRPr="00110466">
        <w:t xml:space="preserve"> yeast transformed to produce truncated forms of BAD-1 (</w:t>
      </w:r>
      <w:proofErr w:type="spellStart"/>
      <w:r w:rsidRPr="00110466">
        <w:t>Trepeat</w:t>
      </w:r>
      <w:proofErr w:type="spellEnd"/>
      <w:r w:rsidRPr="00110466">
        <w:t xml:space="preserve"> Y and –AE, bearing half the normal number of tandem repeats) </w:t>
      </w:r>
      <w:r w:rsidR="00316963" w:rsidRPr="00110466">
        <w:t>displayed</w:t>
      </w:r>
      <w:r w:rsidRPr="00110466">
        <w:t xml:space="preserve"> as much or more BAD-1 on their surfaces as yeast transformed to produce full-length BAD-1 (BAD1-6H J and –AC).  Truncated and full-length forms both included a 6-histidine tag for purification.</w:t>
      </w:r>
      <w:r w:rsidR="00650B37" w:rsidRPr="00110466">
        <w:t xml:space="preserve">  MFI = mean fluorescence intensity.</w:t>
      </w:r>
    </w:p>
    <w:p w14:paraId="39A58B3F" w14:textId="77777777" w:rsidR="009B6AFB" w:rsidRPr="00110466" w:rsidRDefault="009B6AFB" w:rsidP="00316963">
      <w:pPr>
        <w:widowControl w:val="0"/>
        <w:autoSpaceDE w:val="0"/>
        <w:autoSpaceDN w:val="0"/>
        <w:adjustRightInd w:val="0"/>
        <w:spacing w:line="480" w:lineRule="auto"/>
        <w:rPr>
          <w:rFonts w:ascii="Consolas" w:hAnsi="Consolas" w:cs="Consolas"/>
        </w:rPr>
      </w:pPr>
    </w:p>
    <w:p w14:paraId="3B4CAD2C" w14:textId="033071E5" w:rsidR="000D3597" w:rsidRPr="00110466" w:rsidRDefault="003A716E" w:rsidP="00316963">
      <w:pPr>
        <w:spacing w:line="480" w:lineRule="auto"/>
      </w:pPr>
      <w:r w:rsidRPr="00110466">
        <w:rPr>
          <w:b/>
        </w:rPr>
        <w:t>Figure S2</w:t>
      </w:r>
      <w:r w:rsidR="000D3597" w:rsidRPr="00110466">
        <w:rPr>
          <w:b/>
        </w:rPr>
        <w:t>.</w:t>
      </w:r>
      <w:r w:rsidRPr="00110466">
        <w:rPr>
          <w:b/>
        </w:rPr>
        <w:t xml:space="preserve"> </w:t>
      </w:r>
      <w:r w:rsidR="000D3597" w:rsidRPr="00110466">
        <w:rPr>
          <w:b/>
        </w:rPr>
        <w:t xml:space="preserve">Refolding and analysis of </w:t>
      </w:r>
      <w:r w:rsidR="00266281" w:rsidRPr="00110466">
        <w:rPr>
          <w:b/>
        </w:rPr>
        <w:t xml:space="preserve">TR4 </w:t>
      </w:r>
      <w:r w:rsidR="00316963" w:rsidRPr="00110466">
        <w:rPr>
          <w:b/>
        </w:rPr>
        <w:t xml:space="preserve">expressed and purified from </w:t>
      </w:r>
      <w:proofErr w:type="spellStart"/>
      <w:r w:rsidR="00266281" w:rsidRPr="00110466">
        <w:rPr>
          <w:b/>
          <w:i/>
        </w:rPr>
        <w:t>E.coli</w:t>
      </w:r>
      <w:proofErr w:type="spellEnd"/>
      <w:r w:rsidR="000D3597" w:rsidRPr="00110466">
        <w:rPr>
          <w:b/>
          <w:i/>
        </w:rPr>
        <w:t>.</w:t>
      </w:r>
      <w:r w:rsidR="00316963" w:rsidRPr="00110466">
        <w:t xml:space="preserve"> </w:t>
      </w:r>
    </w:p>
    <w:p w14:paraId="23E1D677" w14:textId="695B5D15" w:rsidR="00D60490" w:rsidRPr="00110466" w:rsidRDefault="000D3597" w:rsidP="00316963">
      <w:pPr>
        <w:spacing w:line="480" w:lineRule="auto"/>
      </w:pPr>
      <w:r w:rsidRPr="00110466">
        <w:t xml:space="preserve">TR4 </w:t>
      </w:r>
      <w:r w:rsidR="00316963" w:rsidRPr="00110466">
        <w:t xml:space="preserve">migrated at varied </w:t>
      </w:r>
      <w:proofErr w:type="spellStart"/>
      <w:r w:rsidR="00316963" w:rsidRPr="00110466">
        <w:rPr>
          <w:i/>
        </w:rPr>
        <w:t>Mr</w:t>
      </w:r>
      <w:proofErr w:type="spellEnd"/>
      <w:r w:rsidR="00316963" w:rsidRPr="00110466">
        <w:rPr>
          <w:i/>
        </w:rPr>
        <w:t xml:space="preserve"> </w:t>
      </w:r>
      <w:r w:rsidR="00316963" w:rsidRPr="00110466">
        <w:t>under n</w:t>
      </w:r>
      <w:r w:rsidR="00266281" w:rsidRPr="00110466">
        <w:t>on-reduc</w:t>
      </w:r>
      <w:r w:rsidR="00316963" w:rsidRPr="00110466">
        <w:t>ing conditions</w:t>
      </w:r>
      <w:r w:rsidRPr="00110466">
        <w:t xml:space="preserve"> (Non-reduced)</w:t>
      </w:r>
      <w:r w:rsidR="00881B75" w:rsidRPr="00110466">
        <w:t>,</w:t>
      </w:r>
      <w:r w:rsidR="00266281" w:rsidRPr="00110466">
        <w:t xml:space="preserve"> </w:t>
      </w:r>
      <w:r w:rsidRPr="00110466">
        <w:t xml:space="preserve">and chiefly at </w:t>
      </w:r>
      <w:r w:rsidR="00266281" w:rsidRPr="00110466">
        <w:t>10k</w:t>
      </w:r>
      <w:r w:rsidRPr="00110466">
        <w:t>D</w:t>
      </w:r>
      <w:r w:rsidR="00266281" w:rsidRPr="00110466">
        <w:t xml:space="preserve"> </w:t>
      </w:r>
      <w:r w:rsidR="00881B75" w:rsidRPr="00110466">
        <w:t>under reducing conditions</w:t>
      </w:r>
      <w:r w:rsidR="00266281" w:rsidRPr="00110466">
        <w:t xml:space="preserve"> (Reduced TR4).  Refolding conditions and glutathione gradient parameters were adjusted until TR4 eluted from the </w:t>
      </w:r>
      <w:proofErr w:type="spellStart"/>
      <w:r w:rsidR="00266281" w:rsidRPr="00110466">
        <w:t>NiNTA</w:t>
      </w:r>
      <w:proofErr w:type="spellEnd"/>
      <w:r w:rsidR="00266281" w:rsidRPr="00110466">
        <w:t xml:space="preserve"> column as a single predominant band (Refolded).  This band migrate</w:t>
      </w:r>
      <w:r w:rsidRPr="00110466">
        <w:t>d</w:t>
      </w:r>
      <w:r w:rsidR="00266281" w:rsidRPr="00110466">
        <w:t xml:space="preserve"> at 14k</w:t>
      </w:r>
      <w:r w:rsidRPr="00110466">
        <w:t>D</w:t>
      </w:r>
      <w:r w:rsidR="00881B75" w:rsidRPr="00110466">
        <w:t xml:space="preserve"> and was subjected to NMR analysis to confirm that the residues in refolded TR4 and the residues of native BAD-1 existed in identical environments.</w:t>
      </w:r>
    </w:p>
    <w:p w14:paraId="155AB68E" w14:textId="77777777" w:rsidR="00D60490" w:rsidRPr="00110466" w:rsidRDefault="00D60490" w:rsidP="00316963">
      <w:pPr>
        <w:spacing w:line="480" w:lineRule="auto"/>
      </w:pPr>
    </w:p>
    <w:p w14:paraId="79441166" w14:textId="710ED98D" w:rsidR="000D3597" w:rsidRPr="00110466" w:rsidRDefault="00D60490" w:rsidP="00316963">
      <w:pPr>
        <w:spacing w:line="480" w:lineRule="auto"/>
        <w:rPr>
          <w:rStyle w:val="BookTitle"/>
          <w:b w:val="0"/>
          <w:bCs w:val="0"/>
          <w:smallCaps w:val="0"/>
        </w:rPr>
      </w:pPr>
      <w:r w:rsidRPr="00110466">
        <w:rPr>
          <w:rStyle w:val="BookTitle"/>
          <w:bCs w:val="0"/>
          <w:smallCaps w:val="0"/>
        </w:rPr>
        <w:t>Figure S3</w:t>
      </w:r>
      <w:r w:rsidR="000D3597" w:rsidRPr="00110466">
        <w:rPr>
          <w:rStyle w:val="BookTitle"/>
          <w:bCs w:val="0"/>
          <w:smallCaps w:val="0"/>
        </w:rPr>
        <w:t xml:space="preserve">. </w:t>
      </w:r>
      <w:proofErr w:type="gramStart"/>
      <w:r w:rsidR="000D3597" w:rsidRPr="00110466">
        <w:rPr>
          <w:rStyle w:val="BookTitle"/>
          <w:bCs w:val="0"/>
          <w:smallCaps w:val="0"/>
        </w:rPr>
        <w:t xml:space="preserve">BAD-1 binding to heparin </w:t>
      </w:r>
      <w:proofErr w:type="spellStart"/>
      <w:r w:rsidR="000D3597" w:rsidRPr="00110466">
        <w:rPr>
          <w:rStyle w:val="BookTitle"/>
          <w:bCs w:val="0"/>
          <w:smallCaps w:val="0"/>
        </w:rPr>
        <w:t>agarose</w:t>
      </w:r>
      <w:proofErr w:type="spellEnd"/>
      <w:r w:rsidR="000D3597" w:rsidRPr="00110466">
        <w:rPr>
          <w:rStyle w:val="BookTitle"/>
          <w:bCs w:val="0"/>
          <w:smallCaps w:val="0"/>
        </w:rPr>
        <w:t>.</w:t>
      </w:r>
      <w:proofErr w:type="gramEnd"/>
      <w:r w:rsidRPr="00110466">
        <w:rPr>
          <w:rStyle w:val="BookTitle"/>
          <w:b w:val="0"/>
          <w:bCs w:val="0"/>
          <w:smallCaps w:val="0"/>
        </w:rPr>
        <w:t xml:space="preserve"> </w:t>
      </w:r>
    </w:p>
    <w:p w14:paraId="541A19C6" w14:textId="6FE69E94" w:rsidR="00D60490" w:rsidRPr="00110466" w:rsidRDefault="000D3597" w:rsidP="00316963">
      <w:pPr>
        <w:spacing w:line="480" w:lineRule="auto"/>
      </w:pPr>
      <w:r w:rsidRPr="00110466">
        <w:rPr>
          <w:rStyle w:val="BookTitle"/>
          <w:b w:val="0"/>
          <w:bCs w:val="0"/>
          <w:smallCaps w:val="0"/>
        </w:rPr>
        <w:t xml:space="preserve">BAD-1 </w:t>
      </w:r>
      <w:r w:rsidR="00D60490" w:rsidRPr="00110466">
        <w:rPr>
          <w:rStyle w:val="BookTitle"/>
          <w:b w:val="0"/>
          <w:bCs w:val="0"/>
          <w:smallCaps w:val="0"/>
        </w:rPr>
        <w:t>heparin binding</w:t>
      </w:r>
      <w:r w:rsidR="00C771FC" w:rsidRPr="00110466">
        <w:rPr>
          <w:rStyle w:val="BookTitle"/>
          <w:b w:val="0"/>
          <w:bCs w:val="0"/>
          <w:smallCaps w:val="0"/>
        </w:rPr>
        <w:t xml:space="preserve"> </w:t>
      </w:r>
      <w:r w:rsidRPr="00110466">
        <w:rPr>
          <w:rStyle w:val="BookTitle"/>
          <w:b w:val="0"/>
          <w:bCs w:val="0"/>
          <w:smallCaps w:val="0"/>
        </w:rPr>
        <w:t xml:space="preserve">was </w:t>
      </w:r>
      <w:r w:rsidR="00C771FC" w:rsidRPr="00110466">
        <w:rPr>
          <w:rStyle w:val="BookTitle"/>
          <w:b w:val="0"/>
          <w:bCs w:val="0"/>
          <w:smallCaps w:val="0"/>
        </w:rPr>
        <w:t xml:space="preserve">quantified by comparing the initial A280 of the purified, soluble BAD-1 to the A280 of BAD-1 in the unbound aqueous phase.  </w:t>
      </w:r>
      <w:r w:rsidR="00D60490" w:rsidRPr="00110466">
        <w:rPr>
          <w:rStyle w:val="BookTitle"/>
          <w:bCs w:val="0"/>
          <w:smallCaps w:val="0"/>
        </w:rPr>
        <w:t>(</w:t>
      </w:r>
      <w:r w:rsidR="00D60490" w:rsidRPr="00110466">
        <w:rPr>
          <w:b/>
        </w:rPr>
        <w:t xml:space="preserve">A) </w:t>
      </w:r>
      <w:r w:rsidR="00D60490" w:rsidRPr="00110466">
        <w:t xml:space="preserve">Binding of BAD-1 to </w:t>
      </w:r>
      <w:r w:rsidR="00DD2F76" w:rsidRPr="00110466">
        <w:t xml:space="preserve">heparin and </w:t>
      </w:r>
      <w:r w:rsidR="00D60490" w:rsidRPr="00110466">
        <w:t xml:space="preserve">alternative resins.  </w:t>
      </w:r>
      <w:r w:rsidR="00C771FC" w:rsidRPr="00110466">
        <w:t xml:space="preserve">Heparin </w:t>
      </w:r>
      <w:proofErr w:type="spellStart"/>
      <w:r w:rsidR="00C771FC" w:rsidRPr="00110466">
        <w:t>agarose</w:t>
      </w:r>
      <w:proofErr w:type="spellEnd"/>
      <w:r w:rsidR="00C771FC" w:rsidRPr="00110466">
        <w:t xml:space="preserve"> resin pulled down the majority of BAD-1 in this assay (right column</w:t>
      </w:r>
      <w:r w:rsidR="00D60490" w:rsidRPr="00110466">
        <w:t xml:space="preserve">).  The relative </w:t>
      </w:r>
      <w:r w:rsidR="00DD2F76" w:rsidRPr="00110466">
        <w:t>binding</w:t>
      </w:r>
      <w:r w:rsidR="00D60490" w:rsidRPr="00110466">
        <w:t xml:space="preserve"> of BAD-1</w:t>
      </w:r>
      <w:r w:rsidR="00C771FC" w:rsidRPr="00110466">
        <w:t xml:space="preserve"> </w:t>
      </w:r>
      <w:r w:rsidR="00DD2F76" w:rsidRPr="00110466">
        <w:t xml:space="preserve">to </w:t>
      </w:r>
      <w:r w:rsidR="008E6ABF" w:rsidRPr="00110466">
        <w:t>no-</w:t>
      </w:r>
      <w:proofErr w:type="spellStart"/>
      <w:r w:rsidR="008E6ABF" w:rsidRPr="00110466">
        <w:t>agarose</w:t>
      </w:r>
      <w:proofErr w:type="spellEnd"/>
      <w:r w:rsidR="008E6ABF" w:rsidRPr="00110466">
        <w:t xml:space="preserve"> control</w:t>
      </w:r>
      <w:r w:rsidR="00C771FC" w:rsidRPr="00110466">
        <w:t xml:space="preserve">, </w:t>
      </w:r>
      <w:r w:rsidR="00D60490" w:rsidRPr="00110466">
        <w:t xml:space="preserve">uncoated </w:t>
      </w:r>
      <w:proofErr w:type="spellStart"/>
      <w:r w:rsidR="00D60490" w:rsidRPr="00110466">
        <w:t>agarose</w:t>
      </w:r>
      <w:proofErr w:type="spellEnd"/>
      <w:r w:rsidR="00D60490" w:rsidRPr="00110466">
        <w:t xml:space="preserve"> resin and resins coated with BSA, hemoglobin</w:t>
      </w:r>
      <w:r w:rsidR="00C771FC" w:rsidRPr="00110466">
        <w:t xml:space="preserve">, </w:t>
      </w:r>
      <w:proofErr w:type="spellStart"/>
      <w:r w:rsidR="008E6ABF" w:rsidRPr="00110466">
        <w:t>C</w:t>
      </w:r>
      <w:r w:rsidR="00C771FC" w:rsidRPr="00110466">
        <w:t>onA</w:t>
      </w:r>
      <w:proofErr w:type="spellEnd"/>
      <w:r w:rsidR="00D60490" w:rsidRPr="00110466">
        <w:t xml:space="preserve"> and </w:t>
      </w:r>
      <w:proofErr w:type="spellStart"/>
      <w:r w:rsidR="00D60490" w:rsidRPr="00110466">
        <w:t>mannan</w:t>
      </w:r>
      <w:proofErr w:type="spellEnd"/>
      <w:r w:rsidR="00D60490" w:rsidRPr="00110466">
        <w:t xml:space="preserve"> </w:t>
      </w:r>
      <w:proofErr w:type="gramStart"/>
      <w:r w:rsidR="00D60490" w:rsidRPr="00110466">
        <w:t>was</w:t>
      </w:r>
      <w:proofErr w:type="gramEnd"/>
      <w:r w:rsidR="00D60490" w:rsidRPr="00110466">
        <w:t xml:space="preserve"> measured for </w:t>
      </w:r>
      <w:r w:rsidR="00D60490" w:rsidRPr="00110466">
        <w:lastRenderedPageBreak/>
        <w:t>comparison.  BAD-1</w:t>
      </w:r>
      <w:r w:rsidR="00C771FC" w:rsidRPr="00110466">
        <w:t xml:space="preserve"> </w:t>
      </w:r>
      <w:r w:rsidR="00D60490" w:rsidRPr="00110466">
        <w:t xml:space="preserve">bound better to heparin </w:t>
      </w:r>
      <w:proofErr w:type="spellStart"/>
      <w:r w:rsidR="00D60490" w:rsidRPr="00110466">
        <w:t>agarose</w:t>
      </w:r>
      <w:proofErr w:type="spellEnd"/>
      <w:r w:rsidR="00D60490" w:rsidRPr="00110466">
        <w:t xml:space="preserve"> than control </w:t>
      </w:r>
      <w:r w:rsidR="00DD2F76" w:rsidRPr="00110466">
        <w:t xml:space="preserve">resins </w:t>
      </w:r>
      <w:r w:rsidR="00D60490" w:rsidRPr="00110466">
        <w:t>(*</w:t>
      </w:r>
      <w:r w:rsidR="00DD2F76" w:rsidRPr="00110466">
        <w:t>,</w:t>
      </w:r>
      <w:r w:rsidR="00D60490" w:rsidRPr="00110466">
        <w:t xml:space="preserve"> p&lt;0.05) </w:t>
      </w:r>
      <w:r w:rsidR="002A606A" w:rsidRPr="00110466">
        <w:t>and</w:t>
      </w:r>
      <w:r w:rsidR="00D60490" w:rsidRPr="00110466">
        <w:t xml:space="preserve"> b</w:t>
      </w:r>
      <w:r w:rsidR="00D60490" w:rsidRPr="00110466">
        <w:rPr>
          <w:rStyle w:val="BookTitle"/>
          <w:b w:val="0"/>
          <w:bCs w:val="0"/>
          <w:smallCaps w:val="0"/>
        </w:rPr>
        <w:t xml:space="preserve">inding to control resins was </w:t>
      </w:r>
      <w:r w:rsidR="00DD2F76" w:rsidRPr="00110466">
        <w:rPr>
          <w:rStyle w:val="BookTitle"/>
          <w:b w:val="0"/>
          <w:bCs w:val="0"/>
          <w:smallCaps w:val="0"/>
        </w:rPr>
        <w:t>in</w:t>
      </w:r>
      <w:r w:rsidR="00D60490" w:rsidRPr="00110466">
        <w:rPr>
          <w:rStyle w:val="BookTitle"/>
          <w:b w:val="0"/>
          <w:bCs w:val="0"/>
          <w:smallCaps w:val="0"/>
        </w:rPr>
        <w:t>significan</w:t>
      </w:r>
      <w:r w:rsidR="00DD2F76" w:rsidRPr="00110466">
        <w:rPr>
          <w:rStyle w:val="BookTitle"/>
          <w:b w:val="0"/>
          <w:bCs w:val="0"/>
          <w:smallCaps w:val="0"/>
        </w:rPr>
        <w:t>t</w:t>
      </w:r>
      <w:r w:rsidR="00D60490" w:rsidRPr="00110466">
        <w:rPr>
          <w:rStyle w:val="BookTitle"/>
          <w:b w:val="0"/>
          <w:bCs w:val="0"/>
          <w:smallCaps w:val="0"/>
        </w:rPr>
        <w:t xml:space="preserve"> </w:t>
      </w:r>
      <w:r w:rsidR="00D60490" w:rsidRPr="00110466">
        <w:t>(p&gt;0.05).</w:t>
      </w:r>
      <w:r w:rsidR="00C771FC" w:rsidRPr="00110466">
        <w:t xml:space="preserve">  </w:t>
      </w:r>
      <w:r w:rsidR="00C771FC" w:rsidRPr="00110466">
        <w:rPr>
          <w:b/>
        </w:rPr>
        <w:t>(B</w:t>
      </w:r>
      <w:r w:rsidR="00D60490" w:rsidRPr="00110466">
        <w:rPr>
          <w:b/>
        </w:rPr>
        <w:t>)</w:t>
      </w:r>
      <w:r w:rsidR="00D60490" w:rsidRPr="00110466">
        <w:t xml:space="preserve"> Inhibition of BAD-1 binding to heparin resin by soluble heparin. </w:t>
      </w:r>
      <w:r w:rsidR="00C771FC" w:rsidRPr="00110466">
        <w:t xml:space="preserve"> </w:t>
      </w:r>
      <w:r w:rsidR="00D60490" w:rsidRPr="00110466">
        <w:t>BAD-1 was pre-incubated with increasing</w:t>
      </w:r>
      <w:r w:rsidR="00DD2F76" w:rsidRPr="00110466">
        <w:t xml:space="preserve"> amounts</w:t>
      </w:r>
      <w:r w:rsidR="00D60490" w:rsidRPr="00110466">
        <w:t xml:space="preserve"> of soluble heparin prior to </w:t>
      </w:r>
      <w:r w:rsidR="00DD2F76" w:rsidRPr="00110466">
        <w:t>exposure to</w:t>
      </w:r>
      <w:r w:rsidR="00D60490" w:rsidRPr="00110466">
        <w:t xml:space="preserve"> heparin-</w:t>
      </w:r>
      <w:proofErr w:type="spellStart"/>
      <w:r w:rsidR="00D60490" w:rsidRPr="00110466">
        <w:t>agarose</w:t>
      </w:r>
      <w:proofErr w:type="spellEnd"/>
      <w:r w:rsidR="00D60490" w:rsidRPr="00110466">
        <w:t xml:space="preserve"> resin. </w:t>
      </w:r>
      <w:r w:rsidR="00D60490" w:rsidRPr="00110466">
        <w:rPr>
          <w:rStyle w:val="BookTitle"/>
          <w:b w:val="0"/>
          <w:bCs w:val="0"/>
          <w:smallCaps w:val="0"/>
        </w:rPr>
        <w:t xml:space="preserve"> </w:t>
      </w:r>
      <w:r w:rsidR="00D60490" w:rsidRPr="00110466">
        <w:rPr>
          <w:rStyle w:val="BookTitle"/>
          <w:bCs w:val="0"/>
          <w:smallCaps w:val="0"/>
        </w:rPr>
        <w:t>(</w:t>
      </w:r>
      <w:r w:rsidR="00C771FC" w:rsidRPr="00110466">
        <w:rPr>
          <w:b/>
        </w:rPr>
        <w:t>C</w:t>
      </w:r>
      <w:r w:rsidR="00D60490" w:rsidRPr="00110466">
        <w:rPr>
          <w:b/>
        </w:rPr>
        <w:t>)</w:t>
      </w:r>
      <w:r w:rsidR="00D60490" w:rsidRPr="00110466">
        <w:t xml:space="preserve"> Inhibition of BAD-1 binding to heparin </w:t>
      </w:r>
      <w:proofErr w:type="spellStart"/>
      <w:r w:rsidR="00D60490" w:rsidRPr="00110466">
        <w:t>agarose</w:t>
      </w:r>
      <w:proofErr w:type="spellEnd"/>
      <w:r w:rsidR="00D60490" w:rsidRPr="00110466">
        <w:t xml:space="preserve"> by alternate GAGs.  0.1mg/ml BAD-1was pre-incubated with </w:t>
      </w:r>
      <w:r w:rsidR="00C771FC" w:rsidRPr="00110466">
        <w:t>heparin</w:t>
      </w:r>
      <w:r w:rsidR="00D60490" w:rsidRPr="00110466">
        <w:t xml:space="preserve">, chondroitin sulfate A, or </w:t>
      </w:r>
      <w:proofErr w:type="spellStart"/>
      <w:r w:rsidR="00D60490" w:rsidRPr="00110466">
        <w:t>hyaluronan</w:t>
      </w:r>
      <w:proofErr w:type="spellEnd"/>
      <w:r w:rsidR="00D60490" w:rsidRPr="00110466">
        <w:t xml:space="preserve"> for 20 min, followed by </w:t>
      </w:r>
      <w:r w:rsidR="00DD2F76" w:rsidRPr="00110466">
        <w:t xml:space="preserve">exposure to </w:t>
      </w:r>
      <w:r w:rsidR="00D60490" w:rsidRPr="00110466">
        <w:t>heparin-</w:t>
      </w:r>
      <w:proofErr w:type="spellStart"/>
      <w:r w:rsidR="00D60490" w:rsidRPr="00110466">
        <w:t>agarose</w:t>
      </w:r>
      <w:proofErr w:type="spellEnd"/>
      <w:r w:rsidR="00D60490" w:rsidRPr="00110466">
        <w:t xml:space="preserve"> for an additional 30 min.  </w:t>
      </w:r>
      <w:r w:rsidR="00DD2F76" w:rsidRPr="00110466">
        <w:t xml:space="preserve">The </w:t>
      </w:r>
      <w:r w:rsidR="00C771FC" w:rsidRPr="00110466">
        <w:t xml:space="preserve">A280 of </w:t>
      </w:r>
      <w:r w:rsidR="00DD2F76" w:rsidRPr="00110466">
        <w:t xml:space="preserve">the </w:t>
      </w:r>
      <w:r w:rsidR="00C771FC" w:rsidRPr="00110466">
        <w:t>starting BAD-1 solution was 0.8</w:t>
      </w:r>
      <w:r w:rsidR="008D6742" w:rsidRPr="00110466">
        <w:t xml:space="preserve"> </w:t>
      </w:r>
      <w:r w:rsidR="00DD2F76" w:rsidRPr="00110466">
        <w:t>±</w:t>
      </w:r>
      <w:r w:rsidR="008D6742" w:rsidRPr="00110466">
        <w:t xml:space="preserve"> </w:t>
      </w:r>
      <w:r w:rsidR="00DD2F76" w:rsidRPr="00110466">
        <w:t>0</w:t>
      </w:r>
      <w:r w:rsidR="008D6742" w:rsidRPr="00110466">
        <w:t>.04</w:t>
      </w:r>
      <w:r w:rsidR="00C771FC" w:rsidRPr="00110466">
        <w:t xml:space="preserve"> and the </w:t>
      </w:r>
      <w:r w:rsidR="008D6742" w:rsidRPr="00110466">
        <w:t xml:space="preserve">A280 of the positive binding control was 0.4 </w:t>
      </w:r>
      <w:r w:rsidR="00DD2F76" w:rsidRPr="00110466">
        <w:t>±</w:t>
      </w:r>
      <w:r w:rsidR="008D6742" w:rsidRPr="00110466">
        <w:t xml:space="preserve"> </w:t>
      </w:r>
      <w:r w:rsidR="00DD2F76" w:rsidRPr="00110466">
        <w:t>0</w:t>
      </w:r>
      <w:r w:rsidR="008D6742" w:rsidRPr="00110466">
        <w:t>.04 (~50% binding)</w:t>
      </w:r>
      <w:r w:rsidR="00DD2F76" w:rsidRPr="00110466">
        <w:t>.</w:t>
      </w:r>
      <w:r w:rsidR="008D6742" w:rsidRPr="00110466">
        <w:t xml:space="preserve"> </w:t>
      </w:r>
      <w:r w:rsidR="00C771FC" w:rsidRPr="00110466">
        <w:t>Heparin inhibit</w:t>
      </w:r>
      <w:r w:rsidR="00DD2F76" w:rsidRPr="00110466">
        <w:t>ed binding</w:t>
      </w:r>
      <w:r w:rsidR="00C771FC" w:rsidRPr="00110466">
        <w:t xml:space="preserve"> significant</w:t>
      </w:r>
      <w:r w:rsidR="00DD2F76" w:rsidRPr="00110466">
        <w:t>ly better than</w:t>
      </w:r>
      <w:r w:rsidR="00C771FC" w:rsidRPr="00110466">
        <w:t xml:space="preserve"> controls (*</w:t>
      </w:r>
      <w:r w:rsidR="00DD2F76" w:rsidRPr="00110466">
        <w:t xml:space="preserve">, </w:t>
      </w:r>
      <w:r w:rsidR="00C771FC" w:rsidRPr="00110466">
        <w:t>p&lt;0.05)</w:t>
      </w:r>
      <w:r w:rsidR="00DD2F76" w:rsidRPr="00110466">
        <w:t>,</w:t>
      </w:r>
      <w:r w:rsidR="00C771FC" w:rsidRPr="00110466">
        <w:t xml:space="preserve"> while inhi</w:t>
      </w:r>
      <w:r w:rsidR="00DD2F76" w:rsidRPr="00110466">
        <w:t xml:space="preserve">bition by </w:t>
      </w:r>
      <w:r w:rsidR="00C771FC" w:rsidRPr="00110466">
        <w:t xml:space="preserve">chondroitin and </w:t>
      </w:r>
      <w:proofErr w:type="spellStart"/>
      <w:r w:rsidR="00C771FC" w:rsidRPr="00110466">
        <w:t>hyaluronan</w:t>
      </w:r>
      <w:proofErr w:type="spellEnd"/>
      <w:r w:rsidR="00C771FC" w:rsidRPr="00110466">
        <w:t xml:space="preserve"> </w:t>
      </w:r>
      <w:r w:rsidR="00C771FC" w:rsidRPr="00110466">
        <w:rPr>
          <w:rStyle w:val="BookTitle"/>
          <w:b w:val="0"/>
          <w:bCs w:val="0"/>
          <w:smallCaps w:val="0"/>
        </w:rPr>
        <w:t xml:space="preserve">were </w:t>
      </w:r>
      <w:r w:rsidR="00DD2F76" w:rsidRPr="00110466">
        <w:rPr>
          <w:rStyle w:val="BookTitle"/>
          <w:b w:val="0"/>
          <w:bCs w:val="0"/>
          <w:smallCaps w:val="0"/>
        </w:rPr>
        <w:t xml:space="preserve">not </w:t>
      </w:r>
      <w:r w:rsidR="00C771FC" w:rsidRPr="00110466">
        <w:rPr>
          <w:rStyle w:val="BookTitle"/>
          <w:b w:val="0"/>
          <w:bCs w:val="0"/>
          <w:smallCaps w:val="0"/>
        </w:rPr>
        <w:t>significan</w:t>
      </w:r>
      <w:r w:rsidR="0052505A" w:rsidRPr="00110466">
        <w:rPr>
          <w:rStyle w:val="BookTitle"/>
          <w:b w:val="0"/>
          <w:bCs w:val="0"/>
          <w:smallCaps w:val="0"/>
        </w:rPr>
        <w:t>t</w:t>
      </w:r>
      <w:r w:rsidR="00C771FC" w:rsidRPr="00110466">
        <w:rPr>
          <w:rStyle w:val="BookTitle"/>
          <w:b w:val="0"/>
          <w:bCs w:val="0"/>
          <w:smallCaps w:val="0"/>
        </w:rPr>
        <w:t xml:space="preserve"> </w:t>
      </w:r>
      <w:r w:rsidR="00C771FC" w:rsidRPr="00110466">
        <w:t xml:space="preserve">(p&gt;0.05).  </w:t>
      </w:r>
    </w:p>
    <w:p w14:paraId="2C577E06" w14:textId="77777777" w:rsidR="005B55FC" w:rsidRPr="00110466" w:rsidRDefault="005B55FC" w:rsidP="00316963">
      <w:pPr>
        <w:spacing w:line="480" w:lineRule="auto"/>
      </w:pPr>
    </w:p>
    <w:p w14:paraId="35E826ED" w14:textId="1DC438DF" w:rsidR="005B55FC" w:rsidRPr="00110466" w:rsidRDefault="00401EAC" w:rsidP="00316963">
      <w:pPr>
        <w:spacing w:line="480" w:lineRule="auto"/>
        <w:rPr>
          <w:b/>
        </w:rPr>
      </w:pPr>
      <w:r w:rsidRPr="00110466">
        <w:rPr>
          <w:b/>
        </w:rPr>
        <w:t>Figure S4</w:t>
      </w:r>
      <w:r w:rsidR="005B55FC" w:rsidRPr="00110466">
        <w:rPr>
          <w:b/>
        </w:rPr>
        <w:t xml:space="preserve">.  SPR of BAD-1 lacking 20 copies of the tandem </w:t>
      </w:r>
      <w:proofErr w:type="gramStart"/>
      <w:r w:rsidR="005B55FC" w:rsidRPr="00110466">
        <w:rPr>
          <w:b/>
        </w:rPr>
        <w:t>repeat</w:t>
      </w:r>
      <w:proofErr w:type="gramEnd"/>
      <w:r w:rsidR="005B55FC" w:rsidRPr="00110466">
        <w:rPr>
          <w:b/>
        </w:rPr>
        <w:t xml:space="preserve"> (Trepeat</w:t>
      </w:r>
      <w:r w:rsidR="005B55FC" w:rsidRPr="00110466">
        <w:rPr>
          <w:rFonts w:ascii="Symbol" w:hAnsi="Symbol"/>
          <w:b/>
        </w:rPr>
        <w:t></w:t>
      </w:r>
      <w:r w:rsidR="005B55FC" w:rsidRPr="00110466">
        <w:rPr>
          <w:b/>
        </w:rPr>
        <w:t>20).</w:t>
      </w:r>
    </w:p>
    <w:p w14:paraId="3BBC1E02" w14:textId="54A8A802" w:rsidR="00F113C1" w:rsidRPr="00110466" w:rsidRDefault="005F4D17" w:rsidP="00F113C1">
      <w:pPr>
        <w:spacing w:line="480" w:lineRule="auto"/>
      </w:pPr>
      <w:proofErr w:type="gramStart"/>
      <w:r w:rsidRPr="00110466">
        <w:t>Interaction</w:t>
      </w:r>
      <w:r w:rsidR="00F113C1" w:rsidRPr="00110466">
        <w:t xml:space="preserve"> of Trepeat</w:t>
      </w:r>
      <w:r w:rsidRPr="00110466">
        <w:rPr>
          <w:rFonts w:ascii="Symbol" w:hAnsi="Symbol"/>
        </w:rPr>
        <w:t></w:t>
      </w:r>
      <w:r w:rsidR="00F113C1" w:rsidRPr="00110466">
        <w:t xml:space="preserve">20 </w:t>
      </w:r>
      <w:r w:rsidRPr="00110466">
        <w:t>with</w:t>
      </w:r>
      <w:r w:rsidR="00F113C1" w:rsidRPr="00110466">
        <w:t xml:space="preserve"> heparin </w:t>
      </w:r>
      <w:r w:rsidR="00F26E4B" w:rsidRPr="00110466">
        <w:t>measured</w:t>
      </w:r>
      <w:r w:rsidR="00F113C1" w:rsidRPr="00110466">
        <w:t xml:space="preserve"> by </w:t>
      </w:r>
      <w:r w:rsidR="008342F2" w:rsidRPr="00110466">
        <w:t>sur</w:t>
      </w:r>
      <w:r w:rsidR="002C5719" w:rsidRPr="00110466">
        <w:t xml:space="preserve">face </w:t>
      </w:r>
      <w:proofErr w:type="spellStart"/>
      <w:r w:rsidR="002C5719" w:rsidRPr="00110466">
        <w:t>plasmon</w:t>
      </w:r>
      <w:proofErr w:type="spellEnd"/>
      <w:r w:rsidR="002C5719" w:rsidRPr="00110466">
        <w:t xml:space="preserve"> resonance</w:t>
      </w:r>
      <w:r w:rsidR="008342F2" w:rsidRPr="00110466">
        <w:t xml:space="preserve"> (</w:t>
      </w:r>
      <w:r w:rsidR="00F113C1" w:rsidRPr="00110466">
        <w:t>SPR</w:t>
      </w:r>
      <w:r w:rsidR="008342F2" w:rsidRPr="00110466">
        <w:t>)</w:t>
      </w:r>
      <w:r w:rsidR="00F113C1" w:rsidRPr="00110466">
        <w:t>.</w:t>
      </w:r>
      <w:proofErr w:type="gramEnd"/>
      <w:r w:rsidR="00F113C1" w:rsidRPr="00110466">
        <w:t xml:space="preserve"> Trepeat</w:t>
      </w:r>
      <w:r w:rsidRPr="00110466">
        <w:rPr>
          <w:rFonts w:ascii="Symbol" w:hAnsi="Symbol"/>
        </w:rPr>
        <w:t></w:t>
      </w:r>
      <w:r w:rsidR="00F113C1" w:rsidRPr="00110466">
        <w:t xml:space="preserve">20 binding </w:t>
      </w:r>
      <w:r w:rsidR="008342F2" w:rsidRPr="00110466">
        <w:t xml:space="preserve">was </w:t>
      </w:r>
      <w:r w:rsidR="00F113C1" w:rsidRPr="00110466">
        <w:t xml:space="preserve">monitored using a </w:t>
      </w:r>
      <w:proofErr w:type="spellStart"/>
      <w:r w:rsidR="00F113C1" w:rsidRPr="00110466">
        <w:t>Biorad</w:t>
      </w:r>
      <w:proofErr w:type="spellEnd"/>
      <w:r w:rsidR="00F113C1" w:rsidRPr="00110466">
        <w:t xml:space="preserve"> </w:t>
      </w:r>
      <w:proofErr w:type="spellStart"/>
      <w:r w:rsidR="00F113C1" w:rsidRPr="00110466">
        <w:t>Proteon</w:t>
      </w:r>
      <w:proofErr w:type="spellEnd"/>
      <w:r w:rsidR="00F113C1" w:rsidRPr="00110466">
        <w:t xml:space="preserve"> XPR36. Trepeat</w:t>
      </w:r>
      <w:r w:rsidRPr="00110466">
        <w:rPr>
          <w:rFonts w:ascii="Symbol" w:hAnsi="Symbol"/>
        </w:rPr>
        <w:t></w:t>
      </w:r>
      <w:r w:rsidR="00F113C1" w:rsidRPr="00110466">
        <w:t xml:space="preserve">20 at the indicated concentrations was injected onto </w:t>
      </w:r>
      <w:proofErr w:type="spellStart"/>
      <w:r w:rsidR="00F113C1" w:rsidRPr="00110466">
        <w:t>Biorad</w:t>
      </w:r>
      <w:proofErr w:type="spellEnd"/>
      <w:r w:rsidR="00F113C1" w:rsidRPr="00110466">
        <w:t xml:space="preserve"> NLC </w:t>
      </w:r>
      <w:proofErr w:type="spellStart"/>
      <w:r w:rsidR="00F113C1" w:rsidRPr="00110466">
        <w:t>neutravidin</w:t>
      </w:r>
      <w:proofErr w:type="spellEnd"/>
      <w:r w:rsidR="00F113C1" w:rsidRPr="00110466">
        <w:t xml:space="preserve"> surface with </w:t>
      </w:r>
      <w:proofErr w:type="spellStart"/>
      <w:r w:rsidR="00F113C1" w:rsidRPr="00110466">
        <w:t>biotinylated</w:t>
      </w:r>
      <w:proofErr w:type="spellEnd"/>
      <w:r w:rsidR="00F113C1" w:rsidRPr="00110466">
        <w:t xml:space="preserve"> heparin immobilized to levels of 5 (circles) and 30 (squares) </w:t>
      </w:r>
      <w:proofErr w:type="spellStart"/>
      <w:r w:rsidR="00F113C1" w:rsidRPr="00110466">
        <w:t>RUs.</w:t>
      </w:r>
      <w:proofErr w:type="spellEnd"/>
      <w:r w:rsidR="00F113C1" w:rsidRPr="00110466">
        <w:t xml:space="preserve"> For clarity</w:t>
      </w:r>
      <w:r w:rsidR="00296EA6" w:rsidRPr="00110466">
        <w:t>,</w:t>
      </w:r>
      <w:r w:rsidR="00F113C1" w:rsidRPr="00110466">
        <w:t xml:space="preserve"> only every 15th data point is shown. The solid lines are fits to the Langmuir binding model</w:t>
      </w:r>
      <w:r w:rsidR="00296EA6" w:rsidRPr="00110466">
        <w:t>.</w:t>
      </w:r>
      <w:r w:rsidR="00F113C1" w:rsidRPr="00110466">
        <w:t xml:space="preserve"> </w:t>
      </w:r>
      <w:r w:rsidR="00296EA6" w:rsidRPr="00110466">
        <w:t>O</w:t>
      </w:r>
      <w:r w:rsidR="00F113C1" w:rsidRPr="00110466">
        <w:t xml:space="preserve">n and off rates were fit to each </w:t>
      </w:r>
      <w:proofErr w:type="spellStart"/>
      <w:r w:rsidR="00F113C1" w:rsidRPr="00110466">
        <w:t>sensogram</w:t>
      </w:r>
      <w:proofErr w:type="spellEnd"/>
      <w:r w:rsidR="00296EA6" w:rsidRPr="00110466">
        <w:t>,</w:t>
      </w:r>
      <w:r w:rsidR="00F113C1" w:rsidRPr="00110466">
        <w:t xml:space="preserve"> but maximal response was fit to a single value for each immobilization level.</w:t>
      </w:r>
    </w:p>
    <w:p w14:paraId="6D3431E5" w14:textId="77777777" w:rsidR="00401EAC" w:rsidRPr="00110466" w:rsidRDefault="00401EAC" w:rsidP="00401EAC">
      <w:pPr>
        <w:spacing w:line="480" w:lineRule="auto"/>
        <w:rPr>
          <w:b/>
        </w:rPr>
      </w:pPr>
    </w:p>
    <w:p w14:paraId="2C8034D2" w14:textId="77777777" w:rsidR="00401EAC" w:rsidRPr="00110466" w:rsidRDefault="00401EAC" w:rsidP="00401EAC">
      <w:pPr>
        <w:spacing w:line="480" w:lineRule="auto"/>
        <w:rPr>
          <w:b/>
        </w:rPr>
      </w:pPr>
      <w:r w:rsidRPr="00110466">
        <w:rPr>
          <w:b/>
        </w:rPr>
        <w:t xml:space="preserve">Figure S5. </w:t>
      </w:r>
      <w:proofErr w:type="gramStart"/>
      <w:r w:rsidRPr="00110466">
        <w:rPr>
          <w:b/>
        </w:rPr>
        <w:t>Effect of salt and pH on binding of BAD-1 to heparin.</w:t>
      </w:r>
      <w:proofErr w:type="gramEnd"/>
      <w:r w:rsidRPr="00110466">
        <w:rPr>
          <w:b/>
        </w:rPr>
        <w:t xml:space="preserve">  </w:t>
      </w:r>
    </w:p>
    <w:p w14:paraId="36FDB552" w14:textId="2A49670B" w:rsidR="00110466" w:rsidRPr="00714382" w:rsidRDefault="00401EAC" w:rsidP="00110466">
      <w:pPr>
        <w:spacing w:line="480" w:lineRule="auto"/>
      </w:pPr>
      <w:r w:rsidRPr="00110466">
        <w:rPr>
          <w:rStyle w:val="BookTitle"/>
        </w:rPr>
        <w:t xml:space="preserve"> </w:t>
      </w:r>
      <w:r w:rsidRPr="00110466">
        <w:t xml:space="preserve">Effect of </w:t>
      </w:r>
      <w:proofErr w:type="spellStart"/>
      <w:r w:rsidRPr="00110466">
        <w:t>NaCl</w:t>
      </w:r>
      <w:proofErr w:type="spellEnd"/>
      <w:r w:rsidRPr="00110466">
        <w:t xml:space="preserve"> </w:t>
      </w:r>
      <w:r w:rsidRPr="00110466">
        <w:rPr>
          <w:rStyle w:val="BookTitle"/>
        </w:rPr>
        <w:t>(</w:t>
      </w:r>
      <w:r w:rsidRPr="00110466">
        <w:rPr>
          <w:b/>
        </w:rPr>
        <w:t>A)</w:t>
      </w:r>
      <w:r w:rsidRPr="00110466">
        <w:t xml:space="preserve"> and pH </w:t>
      </w:r>
      <w:r w:rsidRPr="00110466">
        <w:rPr>
          <w:b/>
        </w:rPr>
        <w:t>(B)</w:t>
      </w:r>
      <w:r w:rsidRPr="00110466">
        <w:t xml:space="preserve"> on binding of BAD-1 to immobilized heparin.  A known concentration of BAD-1 was incubated with heparin </w:t>
      </w:r>
      <w:proofErr w:type="spellStart"/>
      <w:r w:rsidRPr="00110466">
        <w:t>agarose</w:t>
      </w:r>
      <w:proofErr w:type="spellEnd"/>
      <w:r w:rsidRPr="00110466">
        <w:t xml:space="preserve">.  The percentage of BAD-1 bound was quantified by measuring A280 of </w:t>
      </w:r>
      <w:proofErr w:type="spellStart"/>
      <w:r w:rsidRPr="00110466">
        <w:t>supernate</w:t>
      </w:r>
      <w:proofErr w:type="spellEnd"/>
      <w:r w:rsidRPr="00110466">
        <w:t xml:space="preserve"> after incubation, compared to that of the starting material.  Results are the mean ± SEM of two independent experiments. </w:t>
      </w:r>
      <w:bookmarkStart w:id="0" w:name="_GoBack"/>
      <w:bookmarkEnd w:id="0"/>
    </w:p>
    <w:p w14:paraId="59C336C8" w14:textId="77777777" w:rsidR="00110466" w:rsidRPr="00CC3141" w:rsidRDefault="00110466" w:rsidP="00110466">
      <w:pPr>
        <w:spacing w:line="480" w:lineRule="auto"/>
        <w:rPr>
          <w:b/>
          <w:bCs/>
          <w:smallCaps/>
          <w:spacing w:val="5"/>
        </w:rPr>
      </w:pPr>
      <w:r w:rsidRPr="00110466">
        <w:rPr>
          <w:b/>
        </w:rPr>
        <w:lastRenderedPageBreak/>
        <w:t>Figure S6</w:t>
      </w:r>
      <w:r w:rsidRPr="00110466">
        <w:t xml:space="preserve">. </w:t>
      </w:r>
      <w:r w:rsidRPr="00110466">
        <w:rPr>
          <w:b/>
        </w:rPr>
        <w:t>3-D representation of a model of the tandem repeat heparin-binding domain.</w:t>
      </w:r>
      <w:r w:rsidRPr="00110466">
        <w:t xml:space="preserve"> </w:t>
      </w:r>
      <w:r w:rsidRPr="00110466">
        <w:rPr>
          <w:b/>
        </w:rPr>
        <w:t>(A)</w:t>
      </w:r>
      <w:r w:rsidRPr="00110466">
        <w:t xml:space="preserve"> The “distal conformation” has the </w:t>
      </w:r>
      <w:proofErr w:type="spellStart"/>
      <w:r w:rsidRPr="00110466">
        <w:t>tryptophans</w:t>
      </w:r>
      <w:proofErr w:type="spellEnd"/>
      <w:r w:rsidRPr="00110466">
        <w:t xml:space="preserve"> of the </w:t>
      </w:r>
      <w:proofErr w:type="spellStart"/>
      <w:r w:rsidRPr="00110466">
        <w:t>WxxWxxW</w:t>
      </w:r>
      <w:proofErr w:type="spellEnd"/>
      <w:r w:rsidRPr="00110466">
        <w:t xml:space="preserve"> motif intercalating with the basic residues of the </w:t>
      </w:r>
      <w:proofErr w:type="spellStart"/>
      <w:r w:rsidRPr="00110466">
        <w:t>BxBxB</w:t>
      </w:r>
      <w:proofErr w:type="spellEnd"/>
      <w:r w:rsidRPr="00110466">
        <w:t xml:space="preserve"> motif distal to the disulfide bond, in contrast to the proximal model.  </w:t>
      </w:r>
      <w:r w:rsidRPr="00110466">
        <w:rPr>
          <w:b/>
        </w:rPr>
        <w:t>(B)</w:t>
      </w:r>
      <w:r w:rsidRPr="00110466">
        <w:t xml:space="preserve"> In the “hairpin conformation”, the </w:t>
      </w:r>
      <w:proofErr w:type="spellStart"/>
      <w:r w:rsidRPr="00110466">
        <w:t>tryptophans</w:t>
      </w:r>
      <w:proofErr w:type="spellEnd"/>
      <w:r w:rsidRPr="00110466">
        <w:t xml:space="preserve"> and basic residues intercalate both proximally and distally to the disulfide bond, but instead of forming a repeating, anti-parallel </w:t>
      </w:r>
      <w:r w:rsidRPr="00110466">
        <w:rPr>
          <w:rFonts w:ascii="Symbol" w:hAnsi="Symbol"/>
        </w:rPr>
        <w:t></w:t>
      </w:r>
      <w:r w:rsidRPr="00110466">
        <w:t xml:space="preserve">-sheet, repeats in this configuration would be expected to form extended hairpin structures. Please see Figure 8B for an illustration of the “proximal conformation”.  </w:t>
      </w:r>
    </w:p>
    <w:p w14:paraId="311969D4" w14:textId="77777777" w:rsidR="00110466" w:rsidRPr="00E34502" w:rsidRDefault="00110466" w:rsidP="00110466">
      <w:pPr>
        <w:spacing w:line="480" w:lineRule="auto"/>
        <w:rPr>
          <w:b/>
        </w:rPr>
      </w:pPr>
    </w:p>
    <w:p w14:paraId="338A8499" w14:textId="77777777" w:rsidR="005B55FC" w:rsidRPr="00E34502" w:rsidRDefault="005B55FC" w:rsidP="00316963">
      <w:pPr>
        <w:spacing w:line="480" w:lineRule="auto"/>
        <w:rPr>
          <w:b/>
        </w:rPr>
      </w:pPr>
    </w:p>
    <w:sectPr w:rsidR="005B55FC" w:rsidRPr="00E34502" w:rsidSect="00E345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18"/>
    <w:rsid w:val="00073288"/>
    <w:rsid w:val="00076597"/>
    <w:rsid w:val="000B40A3"/>
    <w:rsid w:val="000D3597"/>
    <w:rsid w:val="001065A6"/>
    <w:rsid w:val="00110466"/>
    <w:rsid w:val="0012126F"/>
    <w:rsid w:val="00125AA0"/>
    <w:rsid w:val="00131BD1"/>
    <w:rsid w:val="00147B2E"/>
    <w:rsid w:val="00170557"/>
    <w:rsid w:val="001753CC"/>
    <w:rsid w:val="001779E2"/>
    <w:rsid w:val="001840DA"/>
    <w:rsid w:val="001900BE"/>
    <w:rsid w:val="001B6B33"/>
    <w:rsid w:val="001C1502"/>
    <w:rsid w:val="001E58D2"/>
    <w:rsid w:val="00214B73"/>
    <w:rsid w:val="00217A3F"/>
    <w:rsid w:val="002504C2"/>
    <w:rsid w:val="00266281"/>
    <w:rsid w:val="002667C7"/>
    <w:rsid w:val="002810F5"/>
    <w:rsid w:val="0028548F"/>
    <w:rsid w:val="002859BA"/>
    <w:rsid w:val="00296EA6"/>
    <w:rsid w:val="002A606A"/>
    <w:rsid w:val="002C5719"/>
    <w:rsid w:val="002E67E5"/>
    <w:rsid w:val="002F0D25"/>
    <w:rsid w:val="002F68B0"/>
    <w:rsid w:val="003041B1"/>
    <w:rsid w:val="00316963"/>
    <w:rsid w:val="003225FB"/>
    <w:rsid w:val="003400EE"/>
    <w:rsid w:val="00384966"/>
    <w:rsid w:val="003A716E"/>
    <w:rsid w:val="003A79B8"/>
    <w:rsid w:val="00401EAC"/>
    <w:rsid w:val="00433BEB"/>
    <w:rsid w:val="004A3272"/>
    <w:rsid w:val="004A3544"/>
    <w:rsid w:val="00516541"/>
    <w:rsid w:val="0052505A"/>
    <w:rsid w:val="00525412"/>
    <w:rsid w:val="005264E0"/>
    <w:rsid w:val="00530974"/>
    <w:rsid w:val="00552FF8"/>
    <w:rsid w:val="005A17A3"/>
    <w:rsid w:val="005A7D6B"/>
    <w:rsid w:val="005B50B8"/>
    <w:rsid w:val="005B55FC"/>
    <w:rsid w:val="005C7064"/>
    <w:rsid w:val="005D4C4B"/>
    <w:rsid w:val="005D5109"/>
    <w:rsid w:val="005E0829"/>
    <w:rsid w:val="005F4D17"/>
    <w:rsid w:val="006000C7"/>
    <w:rsid w:val="00612D85"/>
    <w:rsid w:val="00650B37"/>
    <w:rsid w:val="00650CB4"/>
    <w:rsid w:val="006909A1"/>
    <w:rsid w:val="006B1E6F"/>
    <w:rsid w:val="006E333F"/>
    <w:rsid w:val="00714382"/>
    <w:rsid w:val="00715001"/>
    <w:rsid w:val="007267BA"/>
    <w:rsid w:val="00791A91"/>
    <w:rsid w:val="007947A6"/>
    <w:rsid w:val="007B356B"/>
    <w:rsid w:val="007E7F23"/>
    <w:rsid w:val="007F776A"/>
    <w:rsid w:val="00826099"/>
    <w:rsid w:val="008342F2"/>
    <w:rsid w:val="00867C10"/>
    <w:rsid w:val="00881B75"/>
    <w:rsid w:val="008A1D25"/>
    <w:rsid w:val="008A21E1"/>
    <w:rsid w:val="008C1773"/>
    <w:rsid w:val="008C341C"/>
    <w:rsid w:val="008D6742"/>
    <w:rsid w:val="008E6ABF"/>
    <w:rsid w:val="008F0894"/>
    <w:rsid w:val="008F1770"/>
    <w:rsid w:val="0093652D"/>
    <w:rsid w:val="0094498C"/>
    <w:rsid w:val="009A0D48"/>
    <w:rsid w:val="009B6AFB"/>
    <w:rsid w:val="009C5FAE"/>
    <w:rsid w:val="009F0573"/>
    <w:rsid w:val="009F084C"/>
    <w:rsid w:val="00A17FF5"/>
    <w:rsid w:val="00A27E4E"/>
    <w:rsid w:val="00A35EE1"/>
    <w:rsid w:val="00A877A7"/>
    <w:rsid w:val="00AC01A0"/>
    <w:rsid w:val="00AC03D0"/>
    <w:rsid w:val="00AC5120"/>
    <w:rsid w:val="00AC5810"/>
    <w:rsid w:val="00AC5E3F"/>
    <w:rsid w:val="00AE0962"/>
    <w:rsid w:val="00AF18DF"/>
    <w:rsid w:val="00B1700B"/>
    <w:rsid w:val="00B40EA7"/>
    <w:rsid w:val="00BA36FA"/>
    <w:rsid w:val="00C1204F"/>
    <w:rsid w:val="00C14269"/>
    <w:rsid w:val="00C32318"/>
    <w:rsid w:val="00C736B5"/>
    <w:rsid w:val="00C771FC"/>
    <w:rsid w:val="00C879CD"/>
    <w:rsid w:val="00D229DE"/>
    <w:rsid w:val="00D24D82"/>
    <w:rsid w:val="00D400DD"/>
    <w:rsid w:val="00D60490"/>
    <w:rsid w:val="00D95448"/>
    <w:rsid w:val="00DC2C89"/>
    <w:rsid w:val="00DD2F76"/>
    <w:rsid w:val="00DE633B"/>
    <w:rsid w:val="00DF6B69"/>
    <w:rsid w:val="00E058A5"/>
    <w:rsid w:val="00E11572"/>
    <w:rsid w:val="00E34502"/>
    <w:rsid w:val="00E43DD1"/>
    <w:rsid w:val="00EA2EEC"/>
    <w:rsid w:val="00EC3F14"/>
    <w:rsid w:val="00EE4775"/>
    <w:rsid w:val="00F01629"/>
    <w:rsid w:val="00F113C1"/>
    <w:rsid w:val="00F14950"/>
    <w:rsid w:val="00F26E4B"/>
    <w:rsid w:val="00F449DB"/>
    <w:rsid w:val="00F50285"/>
    <w:rsid w:val="00F67786"/>
    <w:rsid w:val="00F84A63"/>
    <w:rsid w:val="00FA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00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0BE"/>
    <w:rPr>
      <w:color w:val="0000FF"/>
      <w:u w:val="single"/>
    </w:rPr>
  </w:style>
  <w:style w:type="table" w:styleId="TableGrid">
    <w:name w:val="Table Grid"/>
    <w:basedOn w:val="TableNormal"/>
    <w:rsid w:val="00D40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6B69"/>
    <w:rPr>
      <w:color w:val="800080" w:themeColor="followedHyperlink"/>
      <w:u w:val="single"/>
    </w:rPr>
  </w:style>
  <w:style w:type="paragraph" w:styleId="BalloonText">
    <w:name w:val="Balloon Text"/>
    <w:basedOn w:val="Normal"/>
    <w:link w:val="BalloonTextChar"/>
    <w:uiPriority w:val="99"/>
    <w:semiHidden/>
    <w:unhideWhenUsed/>
    <w:rsid w:val="009B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FB"/>
    <w:rPr>
      <w:rFonts w:ascii="Lucida Grande" w:hAnsi="Lucida Grande" w:cs="Lucida Grande"/>
      <w:sz w:val="18"/>
      <w:szCs w:val="18"/>
    </w:rPr>
  </w:style>
  <w:style w:type="character" w:styleId="BookTitle">
    <w:name w:val="Book Title"/>
    <w:basedOn w:val="DefaultParagraphFont"/>
    <w:uiPriority w:val="33"/>
    <w:qFormat/>
    <w:rsid w:val="00D60490"/>
    <w:rPr>
      <w:b/>
      <w:bCs/>
      <w:smallCaps/>
      <w:spacing w:val="5"/>
    </w:rPr>
  </w:style>
  <w:style w:type="character" w:styleId="CommentReference">
    <w:name w:val="annotation reference"/>
    <w:basedOn w:val="DefaultParagraphFont"/>
    <w:uiPriority w:val="99"/>
    <w:semiHidden/>
    <w:unhideWhenUsed/>
    <w:rsid w:val="00DD2F76"/>
    <w:rPr>
      <w:sz w:val="18"/>
      <w:szCs w:val="18"/>
    </w:rPr>
  </w:style>
  <w:style w:type="paragraph" w:styleId="CommentText">
    <w:name w:val="annotation text"/>
    <w:basedOn w:val="Normal"/>
    <w:link w:val="CommentTextChar"/>
    <w:uiPriority w:val="99"/>
    <w:semiHidden/>
    <w:unhideWhenUsed/>
    <w:rsid w:val="00DD2F76"/>
  </w:style>
  <w:style w:type="character" w:customStyle="1" w:styleId="CommentTextChar">
    <w:name w:val="Comment Text Char"/>
    <w:basedOn w:val="DefaultParagraphFont"/>
    <w:link w:val="CommentText"/>
    <w:uiPriority w:val="99"/>
    <w:semiHidden/>
    <w:rsid w:val="00DD2F76"/>
    <w:rPr>
      <w:sz w:val="24"/>
      <w:szCs w:val="24"/>
    </w:rPr>
  </w:style>
  <w:style w:type="paragraph" w:styleId="CommentSubject">
    <w:name w:val="annotation subject"/>
    <w:basedOn w:val="CommentText"/>
    <w:next w:val="CommentText"/>
    <w:link w:val="CommentSubjectChar"/>
    <w:uiPriority w:val="99"/>
    <w:semiHidden/>
    <w:unhideWhenUsed/>
    <w:rsid w:val="00DD2F76"/>
    <w:rPr>
      <w:b/>
      <w:bCs/>
      <w:sz w:val="20"/>
      <w:szCs w:val="20"/>
    </w:rPr>
  </w:style>
  <w:style w:type="character" w:customStyle="1" w:styleId="CommentSubjectChar">
    <w:name w:val="Comment Subject Char"/>
    <w:basedOn w:val="CommentTextChar"/>
    <w:link w:val="CommentSubject"/>
    <w:uiPriority w:val="99"/>
    <w:semiHidden/>
    <w:rsid w:val="00DD2F7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0BE"/>
    <w:rPr>
      <w:color w:val="0000FF"/>
      <w:u w:val="single"/>
    </w:rPr>
  </w:style>
  <w:style w:type="table" w:styleId="TableGrid">
    <w:name w:val="Table Grid"/>
    <w:basedOn w:val="TableNormal"/>
    <w:rsid w:val="00D40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6B69"/>
    <w:rPr>
      <w:color w:val="800080" w:themeColor="followedHyperlink"/>
      <w:u w:val="single"/>
    </w:rPr>
  </w:style>
  <w:style w:type="paragraph" w:styleId="BalloonText">
    <w:name w:val="Balloon Text"/>
    <w:basedOn w:val="Normal"/>
    <w:link w:val="BalloonTextChar"/>
    <w:uiPriority w:val="99"/>
    <w:semiHidden/>
    <w:unhideWhenUsed/>
    <w:rsid w:val="009B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FB"/>
    <w:rPr>
      <w:rFonts w:ascii="Lucida Grande" w:hAnsi="Lucida Grande" w:cs="Lucida Grande"/>
      <w:sz w:val="18"/>
      <w:szCs w:val="18"/>
    </w:rPr>
  </w:style>
  <w:style w:type="character" w:styleId="BookTitle">
    <w:name w:val="Book Title"/>
    <w:basedOn w:val="DefaultParagraphFont"/>
    <w:uiPriority w:val="33"/>
    <w:qFormat/>
    <w:rsid w:val="00D60490"/>
    <w:rPr>
      <w:b/>
      <w:bCs/>
      <w:smallCaps/>
      <w:spacing w:val="5"/>
    </w:rPr>
  </w:style>
  <w:style w:type="character" w:styleId="CommentReference">
    <w:name w:val="annotation reference"/>
    <w:basedOn w:val="DefaultParagraphFont"/>
    <w:uiPriority w:val="99"/>
    <w:semiHidden/>
    <w:unhideWhenUsed/>
    <w:rsid w:val="00DD2F76"/>
    <w:rPr>
      <w:sz w:val="18"/>
      <w:szCs w:val="18"/>
    </w:rPr>
  </w:style>
  <w:style w:type="paragraph" w:styleId="CommentText">
    <w:name w:val="annotation text"/>
    <w:basedOn w:val="Normal"/>
    <w:link w:val="CommentTextChar"/>
    <w:uiPriority w:val="99"/>
    <w:semiHidden/>
    <w:unhideWhenUsed/>
    <w:rsid w:val="00DD2F76"/>
  </w:style>
  <w:style w:type="character" w:customStyle="1" w:styleId="CommentTextChar">
    <w:name w:val="Comment Text Char"/>
    <w:basedOn w:val="DefaultParagraphFont"/>
    <w:link w:val="CommentText"/>
    <w:uiPriority w:val="99"/>
    <w:semiHidden/>
    <w:rsid w:val="00DD2F76"/>
    <w:rPr>
      <w:sz w:val="24"/>
      <w:szCs w:val="24"/>
    </w:rPr>
  </w:style>
  <w:style w:type="paragraph" w:styleId="CommentSubject">
    <w:name w:val="annotation subject"/>
    <w:basedOn w:val="CommentText"/>
    <w:next w:val="CommentText"/>
    <w:link w:val="CommentSubjectChar"/>
    <w:uiPriority w:val="99"/>
    <w:semiHidden/>
    <w:unhideWhenUsed/>
    <w:rsid w:val="00DD2F76"/>
    <w:rPr>
      <w:b/>
      <w:bCs/>
      <w:sz w:val="20"/>
      <w:szCs w:val="20"/>
    </w:rPr>
  </w:style>
  <w:style w:type="character" w:customStyle="1" w:styleId="CommentSubjectChar">
    <w:name w:val="Comment Subject Char"/>
    <w:basedOn w:val="CommentTextChar"/>
    <w:link w:val="CommentSubject"/>
    <w:uiPriority w:val="99"/>
    <w:semiHidden/>
    <w:rsid w:val="00DD2F7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rixscience.com" TargetMode="External"/><Relationship Id="rId6" Type="http://schemas.openxmlformats.org/officeDocument/2006/relationships/hyperlink" Target="http://www.biotech.wisc.edu/facilities/massspec/instrumentationoverview/LCMSDTO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Enzymatic Digestion</vt:lpstr>
    </vt:vector>
  </TitlesOfParts>
  <Company>University Of Wisconsin</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Enzymatic Digestion</dc:title>
  <dc:creator>Greg Sabat</dc:creator>
  <cp:lastModifiedBy>Bruce S. Klein, MD</cp:lastModifiedBy>
  <cp:revision>5</cp:revision>
  <dcterms:created xsi:type="dcterms:W3CDTF">2013-04-03T18:27:00Z</dcterms:created>
  <dcterms:modified xsi:type="dcterms:W3CDTF">2013-05-07T19:30:00Z</dcterms:modified>
</cp:coreProperties>
</file>