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61" w:rsidRPr="000B6F6C" w:rsidRDefault="00945161" w:rsidP="00945161">
      <w:pPr>
        <w:rPr>
          <w:rFonts w:ascii="Arial" w:hAnsi="Arial" w:cs="Arial"/>
          <w:b/>
        </w:rPr>
      </w:pPr>
      <w:r w:rsidRPr="000B6F6C">
        <w:rPr>
          <w:rFonts w:ascii="Arial" w:hAnsi="Arial" w:cs="Arial"/>
          <w:b/>
        </w:rPr>
        <w:t>Table S1: Cluster width distribution of KSHV miRNA seed match-containing clusters</w:t>
      </w:r>
    </w:p>
    <w:p w:rsidR="00945161" w:rsidRPr="000B6F6C" w:rsidRDefault="00945161" w:rsidP="00945161">
      <w:pPr>
        <w:jc w:val="both"/>
        <w:rPr>
          <w:rFonts w:ascii="Arial" w:hAnsi="Arial" w:cs="Arial"/>
          <w:b/>
        </w:rPr>
      </w:pPr>
      <w:r w:rsidRPr="000B6F6C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81915</wp:posOffset>
            </wp:positionV>
            <wp:extent cx="5067300" cy="32385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238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45161" w:rsidRPr="000B6F6C" w:rsidRDefault="00945161" w:rsidP="00945161">
      <w:pPr>
        <w:jc w:val="both"/>
        <w:rPr>
          <w:rFonts w:ascii="Arial" w:hAnsi="Arial" w:cs="Arial"/>
        </w:rPr>
      </w:pPr>
      <w:r w:rsidRPr="000B6F6C">
        <w:rPr>
          <w:rFonts w:ascii="Arial" w:hAnsi="Arial" w:cs="Arial"/>
        </w:rPr>
        <w:t xml:space="preserve">Based on all super clusters that align to annotated human transcripts, with coverage </w:t>
      </w:r>
      <w:proofErr w:type="gramStart"/>
      <w:r w:rsidRPr="000B6F6C">
        <w:rPr>
          <w:rFonts w:ascii="Arial" w:hAnsi="Arial" w:cs="Arial"/>
        </w:rPr>
        <w:t>of at least 2 copies/cluster per 10e6 reads,</w:t>
      </w:r>
      <w:proofErr w:type="gramEnd"/>
      <w:r w:rsidRPr="000B6F6C">
        <w:rPr>
          <w:rFonts w:ascii="Arial" w:hAnsi="Arial" w:cs="Arial"/>
        </w:rPr>
        <w:t xml:space="preserve"> and contain a KSHV miRNA seed match, at a stringency of 2of3 or 3of3. All 25 KSHV miRNAs (23 in BC-3) were included in this analysis. Clusters listed multiple times due to different miRNA seed matches in the cluster sequence were counted only once. Columns show the number of clusters of a certain width</w:t>
      </w:r>
      <w:r>
        <w:rPr>
          <w:rFonts w:ascii="Arial" w:hAnsi="Arial" w:cs="Arial"/>
        </w:rPr>
        <w:t xml:space="preserve"> (in </w:t>
      </w:r>
      <w:proofErr w:type="spellStart"/>
      <w:r>
        <w:rPr>
          <w:rFonts w:ascii="Arial" w:hAnsi="Arial" w:cs="Arial"/>
        </w:rPr>
        <w:t>bp</w:t>
      </w:r>
      <w:proofErr w:type="spellEnd"/>
      <w:r>
        <w:rPr>
          <w:rFonts w:ascii="Arial" w:hAnsi="Arial" w:cs="Arial"/>
        </w:rPr>
        <w:t>)</w:t>
      </w:r>
      <w:r w:rsidRPr="000B6F6C">
        <w:rPr>
          <w:rFonts w:ascii="Arial" w:hAnsi="Arial" w:cs="Arial"/>
        </w:rPr>
        <w:t>. For a graphical display see Figure 3</w:t>
      </w:r>
      <w:r>
        <w:rPr>
          <w:rFonts w:ascii="Arial" w:hAnsi="Arial" w:cs="Arial"/>
        </w:rPr>
        <w:t>A</w:t>
      </w:r>
      <w:r w:rsidRPr="000B6F6C">
        <w:rPr>
          <w:rFonts w:ascii="Arial" w:hAnsi="Arial" w:cs="Arial"/>
        </w:rPr>
        <w:t>.</w:t>
      </w:r>
    </w:p>
    <w:p w:rsidR="00954353" w:rsidRDefault="00954353"/>
    <w:sectPr w:rsidR="00954353" w:rsidSect="00954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945161"/>
    <w:rsid w:val="00945161"/>
    <w:rsid w:val="0095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ihaecker</dc:creator>
  <cp:lastModifiedBy>ihaecker</cp:lastModifiedBy>
  <cp:revision>1</cp:revision>
  <dcterms:created xsi:type="dcterms:W3CDTF">2012-07-18T18:33:00Z</dcterms:created>
  <dcterms:modified xsi:type="dcterms:W3CDTF">2012-07-18T18:33:00Z</dcterms:modified>
</cp:coreProperties>
</file>